
<file path=[Content_Types].xml><?xml version="1.0" encoding="utf-8"?>
<Types xmlns="http://schemas.openxmlformats.org/package/2006/content-types">
  <Default Extension="jpg" ContentType="image/jp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FFB697" w14:textId="43AB0ACC" w:rsidR="002064BF" w:rsidRPr="004C74F1" w:rsidRDefault="00BD71D7" w:rsidP="002064BF">
      <w:pPr>
        <w:jc w:val="center"/>
        <w:rPr>
          <w:b/>
          <w:bCs/>
          <w:sz w:val="22"/>
          <w:szCs w:val="22"/>
        </w:rPr>
      </w:pPr>
      <w:r>
        <w:rPr>
          <w:noProof/>
        </w:rPr>
        <w:drawing>
          <wp:inline distT="0" distB="0" distL="0" distR="0" wp14:anchorId="13CA1572" wp14:editId="4AA56804">
            <wp:extent cx="1853565" cy="658495"/>
            <wp:effectExtent l="0" t="0" r="635" b="1905"/>
            <wp:docPr id="1" name="Pictur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 name="Picture">
                      <a:extLst>
                        <a:ext uri="{C183D7F6-B498-43B3-948B-1728B52AA6E4}">
                          <adec:decorative xmlns:adec="http://schemas.microsoft.com/office/drawing/2017/decorative" val="1"/>
                        </a:ext>
                      </a:extLst>
                    </pic:cNvPr>
                    <pic:cNvPicPr preferRelativeResize="0"/>
                  </pic:nvPicPr>
                  <pic:blipFill>
                    <a:blip r:embed="rId8"/>
                    <a:stretch>
                      <a:fillRect/>
                    </a:stretch>
                  </pic:blipFill>
                  <pic:spPr>
                    <a:xfrm>
                      <a:off x="0" y="0"/>
                      <a:ext cx="1853565" cy="658495"/>
                    </a:xfrm>
                    <a:prstGeom prst="rect">
                      <a:avLst/>
                    </a:prstGeom>
                  </pic:spPr>
                </pic:pic>
              </a:graphicData>
            </a:graphic>
          </wp:inline>
        </w:drawing>
      </w:r>
    </w:p>
    <w:p w14:paraId="594A9761" w14:textId="77777777" w:rsidR="00BD71D7" w:rsidRDefault="00BD71D7" w:rsidP="002064BF">
      <w:pPr>
        <w:jc w:val="center"/>
        <w:rPr>
          <w:b/>
          <w:bCs/>
          <w:sz w:val="22"/>
          <w:szCs w:val="22"/>
        </w:rPr>
      </w:pPr>
    </w:p>
    <w:p w14:paraId="5E720C63" w14:textId="77777777" w:rsidR="00BD71D7" w:rsidRDefault="00BD71D7" w:rsidP="002064BF">
      <w:pPr>
        <w:jc w:val="center"/>
        <w:rPr>
          <w:b/>
          <w:bCs/>
          <w:sz w:val="22"/>
          <w:szCs w:val="22"/>
        </w:rPr>
      </w:pPr>
    </w:p>
    <w:p w14:paraId="1B9DC71B" w14:textId="1D9E56BB" w:rsidR="002064BF" w:rsidRPr="007B1C53" w:rsidRDefault="002064BF" w:rsidP="00B87BFA">
      <w:pPr>
        <w:pStyle w:val="Heading1"/>
      </w:pPr>
      <w:r w:rsidRPr="007B1C53">
        <w:t>SMART IRB Reliance Agreement Version 3.0</w:t>
      </w:r>
    </w:p>
    <w:p w14:paraId="519D9664" w14:textId="259F4D6D" w:rsidR="002064BF" w:rsidRPr="004C74F1" w:rsidRDefault="002064BF" w:rsidP="00B87BFA">
      <w:pPr>
        <w:pStyle w:val="Heading1"/>
      </w:pPr>
    </w:p>
    <w:p w14:paraId="6B6A12EE" w14:textId="5F3FEE22" w:rsidR="002064BF" w:rsidRPr="004C74F1" w:rsidRDefault="00BD71D7" w:rsidP="00B87BFA">
      <w:pPr>
        <w:pStyle w:val="Heading1"/>
      </w:pPr>
      <w:r>
        <w:t>Detailed</w:t>
      </w:r>
      <w:r w:rsidR="002064BF" w:rsidRPr="004C74F1">
        <w:t xml:space="preserve"> Summary</w:t>
      </w:r>
      <w:r w:rsidR="00B623CB" w:rsidRPr="004C74F1">
        <w:t xml:space="preserve"> of</w:t>
      </w:r>
      <w:r w:rsidR="0026691C" w:rsidRPr="004C74F1">
        <w:t xml:space="preserve"> Key Changes </w:t>
      </w:r>
      <w:r w:rsidR="004D13F7">
        <w:t>in</w:t>
      </w:r>
      <w:r w:rsidR="00B623CB" w:rsidRPr="004C74F1">
        <w:t xml:space="preserve"> Version 3.0</w:t>
      </w:r>
      <w:r w:rsidR="00B623CB" w:rsidRPr="004C74F1">
        <w:br/>
        <w:t>(as compared to Version</w:t>
      </w:r>
      <w:r>
        <w:t>s</w:t>
      </w:r>
      <w:r w:rsidR="00B623CB" w:rsidRPr="004C74F1">
        <w:t xml:space="preserve"> </w:t>
      </w:r>
      <w:r>
        <w:t>1.0/</w:t>
      </w:r>
      <w:r w:rsidR="00B623CB" w:rsidRPr="004C74F1">
        <w:t>2.0)</w:t>
      </w:r>
    </w:p>
    <w:p w14:paraId="70E3DEA6" w14:textId="77777777" w:rsidR="00486F6A" w:rsidRPr="004C74F1" w:rsidRDefault="00486F6A" w:rsidP="007B1C53">
      <w:pPr>
        <w:spacing w:line="360" w:lineRule="auto"/>
        <w:rPr>
          <w:sz w:val="22"/>
          <w:szCs w:val="22"/>
        </w:rPr>
      </w:pPr>
    </w:p>
    <w:p w14:paraId="621D5601" w14:textId="77777777" w:rsidR="00731B94" w:rsidRDefault="00731B94" w:rsidP="007B1C53">
      <w:pPr>
        <w:spacing w:line="360" w:lineRule="auto"/>
        <w:rPr>
          <w:sz w:val="22"/>
          <w:szCs w:val="22"/>
        </w:rPr>
      </w:pPr>
      <w:r>
        <w:rPr>
          <w:sz w:val="22"/>
          <w:szCs w:val="22"/>
        </w:rPr>
        <w:t xml:space="preserve">The purpose of this document is to detail key </w:t>
      </w:r>
      <w:r w:rsidRPr="00F900DE">
        <w:rPr>
          <w:b/>
          <w:bCs/>
          <w:sz w:val="22"/>
          <w:szCs w:val="22"/>
          <w:u w:val="single"/>
        </w:rPr>
        <w:t>changes</w:t>
      </w:r>
      <w:r>
        <w:rPr>
          <w:sz w:val="22"/>
          <w:szCs w:val="22"/>
        </w:rPr>
        <w:t xml:space="preserve">, or differences, in the terms of Version 3.0 of the SMART IRB Reliance Agreement (“Agreement”) as compared to the prior Versions 1.0/2.0. This document does not identify terms of the Agreement to which Version 3.0 merely makes </w:t>
      </w:r>
      <w:r w:rsidRPr="00F900DE">
        <w:rPr>
          <w:b/>
          <w:bCs/>
          <w:sz w:val="22"/>
          <w:szCs w:val="22"/>
          <w:u w:val="single"/>
        </w:rPr>
        <w:t>clarifications</w:t>
      </w:r>
      <w:r>
        <w:rPr>
          <w:sz w:val="22"/>
          <w:szCs w:val="22"/>
        </w:rPr>
        <w:t xml:space="preserve"> to better convey the original intended meaning of the term. Many of the language revisions in Version 3.0 are in the nature of clarifications rather than changes or are to improve the organization or readability of the Agreement.   </w:t>
      </w:r>
    </w:p>
    <w:p w14:paraId="1A794672" w14:textId="77777777" w:rsidR="00731B94" w:rsidRPr="00F900DE" w:rsidRDefault="00731B94" w:rsidP="007B1C53">
      <w:pPr>
        <w:spacing w:line="360" w:lineRule="auto"/>
        <w:rPr>
          <w:sz w:val="22"/>
          <w:szCs w:val="22"/>
        </w:rPr>
      </w:pPr>
    </w:p>
    <w:p w14:paraId="39905456" w14:textId="77777777" w:rsidR="00731B94" w:rsidRPr="007B1C53" w:rsidRDefault="00731B94" w:rsidP="007B1C53">
      <w:pPr>
        <w:pStyle w:val="Heading2"/>
      </w:pPr>
      <w:r w:rsidRPr="007B1C53">
        <w:t>Changes to Eligibility to Participate in the Agreement (Section 1)</w:t>
      </w:r>
    </w:p>
    <w:p w14:paraId="710047AC" w14:textId="77777777" w:rsidR="00731B94" w:rsidRPr="004C74F1" w:rsidRDefault="00731B94" w:rsidP="007B1C53">
      <w:pPr>
        <w:spacing w:line="360" w:lineRule="auto"/>
        <w:rPr>
          <w:i/>
          <w:iCs/>
          <w:sz w:val="22"/>
          <w:szCs w:val="22"/>
        </w:rPr>
      </w:pPr>
    </w:p>
    <w:p w14:paraId="32CA88EC" w14:textId="77777777" w:rsidR="00731B94" w:rsidRPr="004C74F1" w:rsidRDefault="00731B94" w:rsidP="007B1C53">
      <w:pPr>
        <w:pStyle w:val="ListParagraph"/>
        <w:numPr>
          <w:ilvl w:val="0"/>
          <w:numId w:val="29"/>
        </w:numPr>
        <w:spacing w:line="360" w:lineRule="auto"/>
        <w:rPr>
          <w:i/>
          <w:iCs/>
          <w:sz w:val="22"/>
          <w:szCs w:val="22"/>
        </w:rPr>
      </w:pPr>
      <w:r w:rsidRPr="007B1C53">
        <w:rPr>
          <w:rStyle w:val="Heading3Char"/>
        </w:rPr>
        <w:t>FWA No Longer the Only Form of Assurance Accepted (Section 1.1).</w:t>
      </w:r>
      <w:r w:rsidRPr="004C74F1">
        <w:rPr>
          <w:sz w:val="22"/>
          <w:szCs w:val="22"/>
        </w:rPr>
        <w:t xml:space="preserve"> </w:t>
      </w:r>
      <w:r w:rsidRPr="007907C9">
        <w:rPr>
          <w:sz w:val="22"/>
          <w:szCs w:val="22"/>
        </w:rPr>
        <w:t>Unless it is an Independent IRB Organization</w:t>
      </w:r>
      <w:r>
        <w:rPr>
          <w:sz w:val="22"/>
          <w:szCs w:val="22"/>
        </w:rPr>
        <w:t>, an i</w:t>
      </w:r>
      <w:r w:rsidRPr="004C74F1">
        <w:rPr>
          <w:sz w:val="22"/>
          <w:szCs w:val="22"/>
        </w:rPr>
        <w:t xml:space="preserve">nstitution must still maintain an </w:t>
      </w:r>
      <w:r>
        <w:rPr>
          <w:sz w:val="22"/>
          <w:szCs w:val="22"/>
        </w:rPr>
        <w:t>A</w:t>
      </w:r>
      <w:r w:rsidRPr="004C74F1">
        <w:rPr>
          <w:sz w:val="22"/>
          <w:szCs w:val="22"/>
        </w:rPr>
        <w:t xml:space="preserve">ssurance of compliance with the Common Rule to participate in the </w:t>
      </w:r>
      <w:r>
        <w:rPr>
          <w:sz w:val="22"/>
          <w:szCs w:val="22"/>
        </w:rPr>
        <w:t>A</w:t>
      </w:r>
      <w:r w:rsidRPr="004C74F1">
        <w:rPr>
          <w:sz w:val="22"/>
          <w:szCs w:val="22"/>
        </w:rPr>
        <w:t xml:space="preserve">greement, but the </w:t>
      </w:r>
      <w:r>
        <w:rPr>
          <w:sz w:val="22"/>
          <w:szCs w:val="22"/>
        </w:rPr>
        <w:t>A</w:t>
      </w:r>
      <w:r w:rsidRPr="004C74F1">
        <w:rPr>
          <w:sz w:val="22"/>
          <w:szCs w:val="22"/>
        </w:rPr>
        <w:t xml:space="preserve">ssurance can be with any federal Common Rule agency (such as an </w:t>
      </w:r>
      <w:r>
        <w:rPr>
          <w:sz w:val="22"/>
          <w:szCs w:val="22"/>
        </w:rPr>
        <w:t>A</w:t>
      </w:r>
      <w:r w:rsidRPr="004C74F1">
        <w:rPr>
          <w:sz w:val="22"/>
          <w:szCs w:val="22"/>
        </w:rPr>
        <w:t xml:space="preserve">ssurance issued by the </w:t>
      </w:r>
      <w:r>
        <w:rPr>
          <w:sz w:val="22"/>
          <w:szCs w:val="22"/>
        </w:rPr>
        <w:t xml:space="preserve">U.S. </w:t>
      </w:r>
      <w:r w:rsidRPr="004C74F1">
        <w:rPr>
          <w:sz w:val="22"/>
          <w:szCs w:val="22"/>
        </w:rPr>
        <w:t xml:space="preserve">Department of Defense).  </w:t>
      </w:r>
    </w:p>
    <w:p w14:paraId="1EF38DE5" w14:textId="77777777" w:rsidR="00731B94" w:rsidRPr="004C74F1" w:rsidRDefault="00731B94" w:rsidP="007B1C53">
      <w:pPr>
        <w:pStyle w:val="ListParagraph"/>
        <w:spacing w:beforeLines="388" w:before="931" w:line="360" w:lineRule="auto"/>
        <w:ind w:left="778"/>
        <w:rPr>
          <w:i/>
          <w:iCs/>
          <w:sz w:val="22"/>
          <w:szCs w:val="22"/>
        </w:rPr>
      </w:pPr>
    </w:p>
    <w:p w14:paraId="00973A99" w14:textId="77777777" w:rsidR="00731B94" w:rsidRPr="00CC15CC" w:rsidRDefault="00731B94" w:rsidP="007B1C53">
      <w:pPr>
        <w:pStyle w:val="ListParagraph"/>
        <w:numPr>
          <w:ilvl w:val="0"/>
          <w:numId w:val="29"/>
        </w:numPr>
        <w:spacing w:beforeLines="388" w:before="931" w:line="360" w:lineRule="auto"/>
        <w:rPr>
          <w:i/>
          <w:iCs/>
          <w:sz w:val="22"/>
          <w:szCs w:val="22"/>
        </w:rPr>
      </w:pPr>
      <w:r w:rsidRPr="007B1C53">
        <w:rPr>
          <w:rStyle w:val="Heading3Char"/>
        </w:rPr>
        <w:t>Institutional Oversight of Exempt Research No Longer Required (Section 1.1).</w:t>
      </w:r>
      <w:r w:rsidRPr="004C74F1">
        <w:rPr>
          <w:b/>
          <w:bCs/>
          <w:sz w:val="22"/>
          <w:szCs w:val="22"/>
        </w:rPr>
        <w:t xml:space="preserve"> </w:t>
      </w:r>
      <w:r>
        <w:rPr>
          <w:sz w:val="22"/>
          <w:szCs w:val="22"/>
        </w:rPr>
        <w:t>Version 3.0 no longer requires i</w:t>
      </w:r>
      <w:r w:rsidRPr="004C74F1">
        <w:rPr>
          <w:sz w:val="22"/>
          <w:szCs w:val="22"/>
        </w:rPr>
        <w:t>nstitutions to maintain policies for oversight of research that is exempt from the Common Rule</w:t>
      </w:r>
      <w:r>
        <w:rPr>
          <w:sz w:val="22"/>
          <w:szCs w:val="22"/>
        </w:rPr>
        <w:t>. How institutions oversee exempt research is beyond the scope of the Agreement</w:t>
      </w:r>
      <w:r w:rsidRPr="004C74F1">
        <w:rPr>
          <w:sz w:val="22"/>
          <w:szCs w:val="22"/>
        </w:rPr>
        <w:t>.</w:t>
      </w:r>
    </w:p>
    <w:p w14:paraId="44AFC018" w14:textId="77777777" w:rsidR="00731B94" w:rsidRDefault="00731B94" w:rsidP="007B1C53">
      <w:pPr>
        <w:spacing w:line="360" w:lineRule="auto"/>
        <w:rPr>
          <w:i/>
          <w:iCs/>
          <w:sz w:val="22"/>
          <w:szCs w:val="22"/>
        </w:rPr>
      </w:pPr>
    </w:p>
    <w:p w14:paraId="2569419F" w14:textId="77777777" w:rsidR="00731B94" w:rsidRPr="007B1C53" w:rsidRDefault="00731B94" w:rsidP="007B1C53">
      <w:pPr>
        <w:pStyle w:val="Heading2"/>
      </w:pPr>
      <w:r w:rsidRPr="007B1C53">
        <w:t>Changes to Scope and Application of the Agreement (Section 2 and Certain Related Sections)</w:t>
      </w:r>
    </w:p>
    <w:p w14:paraId="52073B17" w14:textId="77777777" w:rsidR="00731B94" w:rsidRPr="004161F5" w:rsidRDefault="00731B94" w:rsidP="007B1C53">
      <w:pPr>
        <w:spacing w:line="360" w:lineRule="auto"/>
        <w:rPr>
          <w:b/>
          <w:bCs/>
          <w:i/>
          <w:iCs/>
          <w:sz w:val="22"/>
          <w:szCs w:val="22"/>
        </w:rPr>
      </w:pPr>
    </w:p>
    <w:p w14:paraId="7A72C262" w14:textId="77777777" w:rsidR="00731B94" w:rsidRPr="007B1C53" w:rsidRDefault="00731B94" w:rsidP="007B1C53">
      <w:pPr>
        <w:pStyle w:val="Heading3"/>
      </w:pPr>
      <w:r w:rsidRPr="007B1C53">
        <w:lastRenderedPageBreak/>
        <w:t>Exemption Determinations and Exempt Research</w:t>
      </w:r>
      <w:r w:rsidRPr="007B1C53">
        <w:br/>
      </w:r>
    </w:p>
    <w:p w14:paraId="1F98326C" w14:textId="77777777" w:rsidR="00731B94" w:rsidRPr="00CA70A4" w:rsidRDefault="00731B94" w:rsidP="007B1C53">
      <w:pPr>
        <w:pStyle w:val="ListParagraph"/>
        <w:numPr>
          <w:ilvl w:val="1"/>
          <w:numId w:val="30"/>
        </w:numPr>
        <w:spacing w:line="360" w:lineRule="auto"/>
        <w:rPr>
          <w:i/>
          <w:iCs/>
          <w:sz w:val="22"/>
          <w:szCs w:val="22"/>
        </w:rPr>
      </w:pPr>
      <w:r w:rsidRPr="00C07EA6">
        <w:rPr>
          <w:rStyle w:val="Heading4Char"/>
        </w:rPr>
        <w:t xml:space="preserve">Exemption Determinations and Associated Limited IRB Review More Comprehensively Addressed (Section 2.1.2 and related Section 5.4.2). </w:t>
      </w:r>
      <w:r w:rsidRPr="004C74F1">
        <w:rPr>
          <w:sz w:val="22"/>
          <w:szCs w:val="22"/>
        </w:rPr>
        <w:t xml:space="preserve">Institutions may continue to use the </w:t>
      </w:r>
      <w:r>
        <w:rPr>
          <w:sz w:val="22"/>
          <w:szCs w:val="22"/>
        </w:rPr>
        <w:t>A</w:t>
      </w:r>
      <w:r w:rsidRPr="004C74F1">
        <w:rPr>
          <w:sz w:val="22"/>
          <w:szCs w:val="22"/>
        </w:rPr>
        <w:t xml:space="preserve">greement to obtain determinations from another institution or IRB that </w:t>
      </w:r>
      <w:r>
        <w:rPr>
          <w:sz w:val="22"/>
          <w:szCs w:val="22"/>
        </w:rPr>
        <w:t>R</w:t>
      </w:r>
      <w:r w:rsidRPr="004C74F1">
        <w:rPr>
          <w:sz w:val="22"/>
          <w:szCs w:val="22"/>
        </w:rPr>
        <w:t xml:space="preserve">esearch is exempt from some or all Common Rule requirements. When they do, the </w:t>
      </w:r>
      <w:r>
        <w:rPr>
          <w:sz w:val="22"/>
          <w:szCs w:val="22"/>
        </w:rPr>
        <w:t>A</w:t>
      </w:r>
      <w:r w:rsidRPr="004C74F1">
        <w:rPr>
          <w:sz w:val="22"/>
          <w:szCs w:val="22"/>
        </w:rPr>
        <w:t>greement now explicitly provides that</w:t>
      </w:r>
      <w:r>
        <w:rPr>
          <w:sz w:val="22"/>
          <w:szCs w:val="22"/>
        </w:rPr>
        <w:t xml:space="preserve"> E</w:t>
      </w:r>
      <w:r w:rsidRPr="004C74F1">
        <w:rPr>
          <w:sz w:val="22"/>
          <w:szCs w:val="22"/>
        </w:rPr>
        <w:t xml:space="preserve">xemption </w:t>
      </w:r>
      <w:r>
        <w:rPr>
          <w:sz w:val="22"/>
          <w:szCs w:val="22"/>
        </w:rPr>
        <w:t>D</w:t>
      </w:r>
      <w:r w:rsidRPr="004C74F1">
        <w:rPr>
          <w:sz w:val="22"/>
          <w:szCs w:val="22"/>
        </w:rPr>
        <w:t xml:space="preserve">eterminations will be conducted in accordance with the Common Rule and that the Reviewing IRB will perform any Limited IRB Review that is required as part of the </w:t>
      </w:r>
      <w:r>
        <w:rPr>
          <w:sz w:val="22"/>
          <w:szCs w:val="22"/>
        </w:rPr>
        <w:t>E</w:t>
      </w:r>
      <w:r w:rsidRPr="004C74F1">
        <w:rPr>
          <w:sz w:val="22"/>
          <w:szCs w:val="22"/>
        </w:rPr>
        <w:t xml:space="preserve">xemption </w:t>
      </w:r>
      <w:r>
        <w:rPr>
          <w:sz w:val="22"/>
          <w:szCs w:val="22"/>
        </w:rPr>
        <w:t>D</w:t>
      </w:r>
      <w:r w:rsidRPr="004C74F1">
        <w:rPr>
          <w:sz w:val="22"/>
          <w:szCs w:val="22"/>
        </w:rPr>
        <w:t>etermination.</w:t>
      </w:r>
      <w:r>
        <w:rPr>
          <w:sz w:val="22"/>
          <w:szCs w:val="22"/>
        </w:rPr>
        <w:br/>
      </w:r>
    </w:p>
    <w:p w14:paraId="2CD326C9" w14:textId="77777777" w:rsidR="00731B94" w:rsidRPr="005B624E" w:rsidRDefault="00731B94" w:rsidP="007B1C53">
      <w:pPr>
        <w:pStyle w:val="ListParagraph"/>
        <w:numPr>
          <w:ilvl w:val="1"/>
          <w:numId w:val="30"/>
        </w:numPr>
        <w:spacing w:line="360" w:lineRule="auto"/>
        <w:rPr>
          <w:b/>
          <w:bCs/>
          <w:sz w:val="22"/>
          <w:szCs w:val="22"/>
        </w:rPr>
      </w:pPr>
      <w:r w:rsidRPr="00C07EA6">
        <w:rPr>
          <w:rStyle w:val="Heading4Char"/>
        </w:rPr>
        <w:t xml:space="preserve">Local Considerations and Other Considerations Applicable to Exemption Determinations (Sections 5.4.2 and 6.6). </w:t>
      </w:r>
      <w:r w:rsidRPr="005B624E">
        <w:rPr>
          <w:sz w:val="22"/>
          <w:szCs w:val="22"/>
        </w:rPr>
        <w:t xml:space="preserve">When an Exemption Determination is requested, </w:t>
      </w:r>
      <w:r>
        <w:rPr>
          <w:sz w:val="22"/>
          <w:szCs w:val="22"/>
        </w:rPr>
        <w:t>a</w:t>
      </w:r>
      <w:r w:rsidRPr="005B624E">
        <w:rPr>
          <w:sz w:val="22"/>
          <w:szCs w:val="22"/>
        </w:rPr>
        <w:t xml:space="preserve"> Relying Institution </w:t>
      </w:r>
      <w:r>
        <w:rPr>
          <w:sz w:val="22"/>
          <w:szCs w:val="22"/>
        </w:rPr>
        <w:t>must</w:t>
      </w:r>
      <w:r w:rsidRPr="005B624E">
        <w:rPr>
          <w:sz w:val="22"/>
          <w:szCs w:val="22"/>
        </w:rPr>
        <w:t xml:space="preserve"> identify and communicate, and a Reviewing IRB/Reviewing IRB Institution </w:t>
      </w:r>
      <w:r>
        <w:rPr>
          <w:sz w:val="22"/>
          <w:szCs w:val="22"/>
        </w:rPr>
        <w:t>must</w:t>
      </w:r>
      <w:r w:rsidRPr="005B624E">
        <w:rPr>
          <w:sz w:val="22"/>
          <w:szCs w:val="22"/>
        </w:rPr>
        <w:t xml:space="preserve"> consider, any Local Considerations and Other Considerations (see below) </w:t>
      </w:r>
      <w:r>
        <w:rPr>
          <w:sz w:val="22"/>
          <w:szCs w:val="22"/>
        </w:rPr>
        <w:t xml:space="preserve">and other local information </w:t>
      </w:r>
      <w:r w:rsidRPr="003561D4">
        <w:rPr>
          <w:sz w:val="22"/>
          <w:szCs w:val="22"/>
        </w:rPr>
        <w:t>to the extent such considerations or information are relevant to the Federal Policy’s criteria for exemption</w:t>
      </w:r>
      <w:r>
        <w:rPr>
          <w:sz w:val="22"/>
          <w:szCs w:val="22"/>
        </w:rPr>
        <w:t xml:space="preserve"> (e.g.,</w:t>
      </w:r>
      <w:r w:rsidRPr="005B624E">
        <w:rPr>
          <w:sz w:val="22"/>
          <w:szCs w:val="22"/>
        </w:rPr>
        <w:t xml:space="preserve"> where an exemption is limited to research involving adults, the Reviewing IRB/Reviewing IRB Institution needs to know </w:t>
      </w:r>
      <w:r>
        <w:rPr>
          <w:sz w:val="22"/>
          <w:szCs w:val="22"/>
        </w:rPr>
        <w:t xml:space="preserve">and consider </w:t>
      </w:r>
      <w:r w:rsidRPr="005B624E">
        <w:rPr>
          <w:sz w:val="22"/>
          <w:szCs w:val="22"/>
        </w:rPr>
        <w:t>who is a child under the Relying Institution’s state law</w:t>
      </w:r>
      <w:r>
        <w:rPr>
          <w:sz w:val="22"/>
          <w:szCs w:val="22"/>
        </w:rPr>
        <w:t>)</w:t>
      </w:r>
      <w:r w:rsidRPr="005B624E">
        <w:rPr>
          <w:sz w:val="22"/>
          <w:szCs w:val="22"/>
        </w:rPr>
        <w:t xml:space="preserve">. </w:t>
      </w:r>
    </w:p>
    <w:p w14:paraId="3B83C6C9" w14:textId="77777777" w:rsidR="00731B94" w:rsidRPr="005B624E" w:rsidRDefault="00731B94" w:rsidP="007B1C53">
      <w:pPr>
        <w:pStyle w:val="ListParagraph"/>
        <w:spacing w:line="360" w:lineRule="auto"/>
        <w:rPr>
          <w:b/>
          <w:bCs/>
          <w:sz w:val="22"/>
          <w:szCs w:val="22"/>
        </w:rPr>
      </w:pPr>
    </w:p>
    <w:p w14:paraId="496DD7B9" w14:textId="77777777" w:rsidR="00731B94" w:rsidRPr="005B624E" w:rsidRDefault="00731B94" w:rsidP="007B1C53">
      <w:pPr>
        <w:pStyle w:val="ListParagraph"/>
        <w:numPr>
          <w:ilvl w:val="1"/>
          <w:numId w:val="30"/>
        </w:numPr>
        <w:spacing w:line="360" w:lineRule="auto"/>
        <w:rPr>
          <w:sz w:val="22"/>
          <w:szCs w:val="22"/>
        </w:rPr>
      </w:pPr>
      <w:r w:rsidRPr="00C07EA6">
        <w:rPr>
          <w:rStyle w:val="Heading4Char"/>
        </w:rPr>
        <w:t xml:space="preserve">Review of Proposed Changes and Review, Notification, and Reporting of Noncompliance Applicable to Exempt Research (Sections 5.4.2, 5.10, 6.3, and 6.13). </w:t>
      </w:r>
      <w:r w:rsidRPr="005B624E">
        <w:rPr>
          <w:sz w:val="22"/>
          <w:szCs w:val="22"/>
        </w:rPr>
        <w:t xml:space="preserve">With respect to Research that has been determined exempt, Reviewing IRBs/Reviewing IRB Institutions </w:t>
      </w:r>
      <w:r>
        <w:rPr>
          <w:sz w:val="22"/>
          <w:szCs w:val="22"/>
        </w:rPr>
        <w:t>must</w:t>
      </w:r>
      <w:r w:rsidRPr="005B624E">
        <w:rPr>
          <w:sz w:val="22"/>
          <w:szCs w:val="22"/>
        </w:rPr>
        <w:t xml:space="preserve"> review </w:t>
      </w:r>
      <w:r>
        <w:rPr>
          <w:sz w:val="22"/>
          <w:szCs w:val="22"/>
        </w:rPr>
        <w:t xml:space="preserve">proposed changes to the Research to determine whether the Research is still eligible for exemption and whether a new Limited IRB Review is required. Reviewing IRBs/Reviewing IRB Institutions must also review </w:t>
      </w:r>
      <w:r w:rsidRPr="005B624E">
        <w:rPr>
          <w:sz w:val="22"/>
          <w:szCs w:val="22"/>
        </w:rPr>
        <w:t xml:space="preserve">potential noncompliance with the Federal Policy or with the terms of the Exemption Determination </w:t>
      </w:r>
      <w:r w:rsidRPr="003561D4">
        <w:rPr>
          <w:sz w:val="22"/>
          <w:szCs w:val="22"/>
        </w:rPr>
        <w:t>that could disqualify the Research from the relevant exemption</w:t>
      </w:r>
      <w:r w:rsidRPr="005B624E">
        <w:rPr>
          <w:sz w:val="22"/>
          <w:szCs w:val="22"/>
        </w:rPr>
        <w:t>. The Reviewing IRB/Reviewing IRB Institution must notify the Relying Institution of the Reviewing IRB’s/Reviewing IRB Institution’s decisions, findings, and actions regarding the same, including a determination that a Report of serious and/or continuing noncompliance to federal human subjects officials is required. For its part, a Relying Institution must notify the Reviewing IRB/Reviewing IRB Institution of such potential noncompliance or if it determines that such a Report is required in connection with the exempt Research.</w:t>
      </w:r>
      <w:r>
        <w:rPr>
          <w:sz w:val="22"/>
          <w:szCs w:val="22"/>
        </w:rPr>
        <w:t xml:space="preserve"> A Relying Institution must also notify the Reviewing IRB/Reviewing IRB Institution of proposed changes to exempt Research.</w:t>
      </w:r>
    </w:p>
    <w:p w14:paraId="15F9B1B8" w14:textId="77777777" w:rsidR="00731B94" w:rsidRPr="004C74F1" w:rsidRDefault="00731B94" w:rsidP="007B1C53">
      <w:pPr>
        <w:pStyle w:val="ListParagraph"/>
        <w:spacing w:beforeLines="388" w:before="931" w:line="360" w:lineRule="auto"/>
        <w:rPr>
          <w:i/>
          <w:iCs/>
          <w:sz w:val="22"/>
          <w:szCs w:val="22"/>
        </w:rPr>
      </w:pPr>
    </w:p>
    <w:p w14:paraId="2723ADB2" w14:textId="77777777" w:rsidR="00731B94" w:rsidRPr="004C74F1" w:rsidRDefault="00731B94" w:rsidP="007B1C53">
      <w:pPr>
        <w:pStyle w:val="ListParagraph"/>
        <w:numPr>
          <w:ilvl w:val="0"/>
          <w:numId w:val="30"/>
        </w:numPr>
        <w:spacing w:beforeLines="388" w:before="931" w:line="360" w:lineRule="auto"/>
        <w:rPr>
          <w:i/>
          <w:iCs/>
          <w:sz w:val="22"/>
          <w:szCs w:val="22"/>
        </w:rPr>
      </w:pPr>
      <w:r w:rsidRPr="007B1C53">
        <w:rPr>
          <w:rStyle w:val="Heading3Char"/>
        </w:rPr>
        <w:lastRenderedPageBreak/>
        <w:t>Reviewing IRBs May Withdraw from Providing Review (Section 2.5.2.2).</w:t>
      </w:r>
      <w:r w:rsidRPr="004C74F1">
        <w:rPr>
          <w:b/>
          <w:bCs/>
          <w:sz w:val="22"/>
          <w:szCs w:val="22"/>
        </w:rPr>
        <w:t xml:space="preserve"> </w:t>
      </w:r>
      <w:r w:rsidRPr="004C74F1">
        <w:rPr>
          <w:sz w:val="22"/>
          <w:szCs w:val="22"/>
        </w:rPr>
        <w:t>For significant cause, such as a Relying Institution</w:t>
      </w:r>
      <w:r>
        <w:rPr>
          <w:sz w:val="22"/>
          <w:szCs w:val="22"/>
        </w:rPr>
        <w:t>'s</w:t>
      </w:r>
      <w:r w:rsidRPr="004C74F1">
        <w:rPr>
          <w:sz w:val="22"/>
          <w:szCs w:val="22"/>
        </w:rPr>
        <w:t xml:space="preserve"> ongoing and uncorrected </w:t>
      </w:r>
      <w:r>
        <w:rPr>
          <w:sz w:val="22"/>
          <w:szCs w:val="22"/>
        </w:rPr>
        <w:t>failure to comply</w:t>
      </w:r>
      <w:r w:rsidRPr="004C74F1">
        <w:rPr>
          <w:sz w:val="22"/>
          <w:szCs w:val="22"/>
        </w:rPr>
        <w:t xml:space="preserve"> with its obligations under the </w:t>
      </w:r>
      <w:r>
        <w:rPr>
          <w:sz w:val="22"/>
          <w:szCs w:val="22"/>
        </w:rPr>
        <w:t>A</w:t>
      </w:r>
      <w:r w:rsidRPr="004C74F1">
        <w:rPr>
          <w:sz w:val="22"/>
          <w:szCs w:val="22"/>
        </w:rPr>
        <w:t xml:space="preserve">greement, a Reviewing IRB may withdraw from providing review and oversight of </w:t>
      </w:r>
      <w:r>
        <w:rPr>
          <w:sz w:val="22"/>
          <w:szCs w:val="22"/>
        </w:rPr>
        <w:t>R</w:t>
      </w:r>
      <w:r w:rsidRPr="004C74F1">
        <w:rPr>
          <w:sz w:val="22"/>
          <w:szCs w:val="22"/>
        </w:rPr>
        <w:t xml:space="preserve">esearch for the Relying Institution, with </w:t>
      </w:r>
      <w:r>
        <w:rPr>
          <w:sz w:val="22"/>
          <w:szCs w:val="22"/>
        </w:rPr>
        <w:t xml:space="preserve">60 business days’ </w:t>
      </w:r>
      <w:r w:rsidRPr="004C74F1">
        <w:rPr>
          <w:sz w:val="22"/>
          <w:szCs w:val="22"/>
        </w:rPr>
        <w:t xml:space="preserve">prior </w:t>
      </w:r>
      <w:r>
        <w:rPr>
          <w:sz w:val="22"/>
          <w:szCs w:val="22"/>
        </w:rPr>
        <w:t xml:space="preserve">written </w:t>
      </w:r>
      <w:r w:rsidRPr="004C74F1">
        <w:rPr>
          <w:sz w:val="22"/>
          <w:szCs w:val="22"/>
        </w:rPr>
        <w:t xml:space="preserve">notice and explanation provided to the Relying Institution.  </w:t>
      </w:r>
    </w:p>
    <w:p w14:paraId="1ECB54F1" w14:textId="77777777" w:rsidR="00731B94" w:rsidRDefault="00731B94" w:rsidP="007B1C53">
      <w:pPr>
        <w:spacing w:beforeLines="50" w:before="120" w:line="360" w:lineRule="auto"/>
        <w:rPr>
          <w:i/>
          <w:iCs/>
          <w:sz w:val="22"/>
          <w:szCs w:val="22"/>
        </w:rPr>
      </w:pPr>
    </w:p>
    <w:p w14:paraId="79865BC4" w14:textId="77777777" w:rsidR="00731B94" w:rsidRPr="007B1C53" w:rsidRDefault="00731B94" w:rsidP="007B1C53">
      <w:pPr>
        <w:pStyle w:val="Heading2"/>
      </w:pPr>
      <w:r w:rsidRPr="007B1C53">
        <w:t>Changes to Collaborative Processes for Consideration of Reliance Requests, Determination of the Reviewing IRB/Reviewing IRB Institution, and Determination of Applicable Policies and Procedures (Section 3)</w:t>
      </w:r>
    </w:p>
    <w:p w14:paraId="327B7394" w14:textId="77777777" w:rsidR="00731B94" w:rsidRPr="006B6676" w:rsidRDefault="00731B94" w:rsidP="007B1C53">
      <w:pPr>
        <w:pStyle w:val="ListParagraph"/>
        <w:spacing w:line="360" w:lineRule="auto"/>
        <w:rPr>
          <w:sz w:val="22"/>
          <w:szCs w:val="22"/>
        </w:rPr>
      </w:pPr>
    </w:p>
    <w:p w14:paraId="450DB488" w14:textId="77777777" w:rsidR="00731B94" w:rsidRPr="004C74F1" w:rsidRDefault="00731B94" w:rsidP="007B1C53">
      <w:pPr>
        <w:pStyle w:val="ListParagraph"/>
        <w:numPr>
          <w:ilvl w:val="0"/>
          <w:numId w:val="31"/>
        </w:numPr>
        <w:spacing w:line="360" w:lineRule="auto"/>
        <w:rPr>
          <w:sz w:val="22"/>
          <w:szCs w:val="22"/>
        </w:rPr>
      </w:pPr>
      <w:r w:rsidRPr="007B1C53">
        <w:rPr>
          <w:rStyle w:val="Heading3Char"/>
        </w:rPr>
        <w:t>Specific Acknowledgment of Federally Mandated Processes (Section 3.1).</w:t>
      </w:r>
      <w:r w:rsidRPr="004C74F1">
        <w:rPr>
          <w:b/>
          <w:bCs/>
          <w:sz w:val="22"/>
          <w:szCs w:val="22"/>
        </w:rPr>
        <w:t xml:space="preserve"> </w:t>
      </w:r>
      <w:r w:rsidRPr="004C74F1">
        <w:rPr>
          <w:sz w:val="22"/>
          <w:szCs w:val="22"/>
        </w:rPr>
        <w:t xml:space="preserve">For </w:t>
      </w:r>
      <w:r>
        <w:rPr>
          <w:sz w:val="22"/>
          <w:szCs w:val="22"/>
        </w:rPr>
        <w:t>R</w:t>
      </w:r>
      <w:r w:rsidRPr="004C74F1">
        <w:rPr>
          <w:sz w:val="22"/>
          <w:szCs w:val="22"/>
        </w:rPr>
        <w:t>esearch subject to federal regulatory or funding agency processes for initiation of reliance</w:t>
      </w:r>
      <w:r>
        <w:rPr>
          <w:sz w:val="22"/>
          <w:szCs w:val="22"/>
        </w:rPr>
        <w:t xml:space="preserve"> or</w:t>
      </w:r>
      <w:r w:rsidRPr="004C74F1">
        <w:rPr>
          <w:sz w:val="22"/>
          <w:szCs w:val="22"/>
        </w:rPr>
        <w:t xml:space="preserve"> for determination of the Reviewing IRB/Reviewing IRB Institution</w:t>
      </w:r>
      <w:r>
        <w:rPr>
          <w:sz w:val="22"/>
          <w:szCs w:val="22"/>
        </w:rPr>
        <w:t xml:space="preserve"> (</w:t>
      </w:r>
      <w:r w:rsidRPr="004C74F1">
        <w:rPr>
          <w:sz w:val="22"/>
          <w:szCs w:val="22"/>
        </w:rPr>
        <w:t xml:space="preserve">such as </w:t>
      </w:r>
      <w:r>
        <w:rPr>
          <w:sz w:val="22"/>
          <w:szCs w:val="22"/>
        </w:rPr>
        <w:t>R</w:t>
      </w:r>
      <w:r w:rsidRPr="004C74F1">
        <w:rPr>
          <w:sz w:val="22"/>
          <w:szCs w:val="22"/>
        </w:rPr>
        <w:t>esearch subject to the Common Rule’s single IRB provisions</w:t>
      </w:r>
      <w:r>
        <w:rPr>
          <w:sz w:val="22"/>
          <w:szCs w:val="22"/>
        </w:rPr>
        <w:t xml:space="preserve"> or the NIH Single IRB Policy</w:t>
      </w:r>
      <w:r w:rsidRPr="004C74F1">
        <w:rPr>
          <w:sz w:val="22"/>
          <w:szCs w:val="22"/>
        </w:rPr>
        <w:t xml:space="preserve">), such </w:t>
      </w:r>
      <w:r>
        <w:rPr>
          <w:sz w:val="22"/>
          <w:szCs w:val="22"/>
        </w:rPr>
        <w:t>Mandated Processes</w:t>
      </w:r>
      <w:r w:rsidRPr="004C74F1">
        <w:rPr>
          <w:sz w:val="22"/>
          <w:szCs w:val="22"/>
        </w:rPr>
        <w:t xml:space="preserve"> will </w:t>
      </w:r>
      <w:r>
        <w:rPr>
          <w:sz w:val="22"/>
          <w:szCs w:val="22"/>
        </w:rPr>
        <w:t>override</w:t>
      </w:r>
      <w:r w:rsidRPr="004C74F1">
        <w:rPr>
          <w:sz w:val="22"/>
          <w:szCs w:val="22"/>
        </w:rPr>
        <w:t xml:space="preserve"> the </w:t>
      </w:r>
      <w:r>
        <w:rPr>
          <w:sz w:val="22"/>
          <w:szCs w:val="22"/>
        </w:rPr>
        <w:t xml:space="preserve">correlating </w:t>
      </w:r>
      <w:r w:rsidRPr="004C74F1">
        <w:rPr>
          <w:sz w:val="22"/>
          <w:szCs w:val="22"/>
        </w:rPr>
        <w:t xml:space="preserve">processes set out in the </w:t>
      </w:r>
      <w:r>
        <w:rPr>
          <w:sz w:val="22"/>
          <w:szCs w:val="22"/>
        </w:rPr>
        <w:t>A</w:t>
      </w:r>
      <w:r w:rsidRPr="004C74F1">
        <w:rPr>
          <w:sz w:val="22"/>
          <w:szCs w:val="22"/>
        </w:rPr>
        <w:t>greement.</w:t>
      </w:r>
      <w:r>
        <w:rPr>
          <w:sz w:val="22"/>
          <w:szCs w:val="22"/>
        </w:rPr>
        <w:t xml:space="preserve"> Participating Institutions only need to document among themselves when a Mandated Process applies if such documentation does not exist elsewhere (for example, in the grant documents).</w:t>
      </w:r>
    </w:p>
    <w:p w14:paraId="39D38EFD" w14:textId="77777777" w:rsidR="00731B94" w:rsidRPr="004C74F1" w:rsidRDefault="00731B94" w:rsidP="007B1C53">
      <w:pPr>
        <w:pStyle w:val="ListParagraph"/>
        <w:spacing w:beforeLines="388" w:before="931" w:line="360" w:lineRule="auto"/>
        <w:rPr>
          <w:sz w:val="22"/>
          <w:szCs w:val="22"/>
        </w:rPr>
      </w:pPr>
    </w:p>
    <w:p w14:paraId="042141A0" w14:textId="77777777" w:rsidR="00731B94" w:rsidRPr="00B65FBE" w:rsidRDefault="00731B94" w:rsidP="007B1C53">
      <w:pPr>
        <w:pStyle w:val="ListParagraph"/>
        <w:numPr>
          <w:ilvl w:val="0"/>
          <w:numId w:val="31"/>
        </w:numPr>
        <w:spacing w:beforeLines="388" w:before="931" w:line="360" w:lineRule="auto"/>
        <w:rPr>
          <w:sz w:val="22"/>
          <w:szCs w:val="22"/>
        </w:rPr>
      </w:pPr>
      <w:r w:rsidRPr="007B1C53">
        <w:rPr>
          <w:rStyle w:val="Heading3Char"/>
        </w:rPr>
        <w:t>In the Absence of Federally Mandated Processes, Agreement Recommends But Does Not Require a Particular Process for Initiation of Reliance Requests or Determination of Reviewing IRB (Section 3.2).</w:t>
      </w:r>
      <w:r>
        <w:rPr>
          <w:sz w:val="22"/>
          <w:szCs w:val="22"/>
        </w:rPr>
        <w:t xml:space="preserve"> The Agreement continues to include detailed processes to guide Participating Institutions when they are not subject to Mandated Processes in initiating reliance requests and determining the Reviewing IRB, but these processes are now recommendations, not requirements. Participating Institutions have flexibility to use alternate processes for these matters. Regardless what processes are used, however, Participating Institutions that extend their Assurances to Research that is not federally funded </w:t>
      </w:r>
      <w:r w:rsidRPr="0052316C">
        <w:rPr>
          <w:sz w:val="22"/>
          <w:szCs w:val="22"/>
        </w:rPr>
        <w:t>continue</w:t>
      </w:r>
      <w:r>
        <w:rPr>
          <w:sz w:val="22"/>
          <w:szCs w:val="22"/>
        </w:rPr>
        <w:t xml:space="preserve"> to be required to inform the proposed Reviewing IRB/Reviewing IRB Institution if their Assurance is applicable to the Research.</w:t>
      </w:r>
    </w:p>
    <w:p w14:paraId="0ADF5611" w14:textId="77777777" w:rsidR="00731B94" w:rsidRPr="00B65FBE" w:rsidRDefault="00731B94" w:rsidP="007B1C53">
      <w:pPr>
        <w:pStyle w:val="ListParagraph"/>
        <w:spacing w:line="360" w:lineRule="auto"/>
        <w:rPr>
          <w:b/>
          <w:bCs/>
          <w:sz w:val="22"/>
          <w:szCs w:val="22"/>
        </w:rPr>
      </w:pPr>
    </w:p>
    <w:p w14:paraId="34F593D5" w14:textId="77777777" w:rsidR="00731B94" w:rsidRPr="003648ED" w:rsidRDefault="00731B94" w:rsidP="007B1C53">
      <w:pPr>
        <w:pStyle w:val="ListParagraph"/>
        <w:numPr>
          <w:ilvl w:val="0"/>
          <w:numId w:val="31"/>
        </w:numPr>
        <w:spacing w:beforeLines="388" w:before="931" w:line="360" w:lineRule="auto"/>
        <w:rPr>
          <w:sz w:val="22"/>
          <w:szCs w:val="22"/>
        </w:rPr>
      </w:pPr>
      <w:r w:rsidRPr="007B1C53">
        <w:rPr>
          <w:rStyle w:val="Heading3Char"/>
        </w:rPr>
        <w:t>Specific Acknowledgement of Federally Mandated Policies (Section 3.4.1).</w:t>
      </w:r>
      <w:r w:rsidRPr="003648ED">
        <w:rPr>
          <w:sz w:val="22"/>
          <w:szCs w:val="22"/>
        </w:rPr>
        <w:t xml:space="preserve"> For </w:t>
      </w:r>
      <w:r>
        <w:rPr>
          <w:sz w:val="22"/>
          <w:szCs w:val="22"/>
        </w:rPr>
        <w:t>R</w:t>
      </w:r>
      <w:r w:rsidRPr="003648ED">
        <w:rPr>
          <w:sz w:val="22"/>
          <w:szCs w:val="22"/>
        </w:rPr>
        <w:t xml:space="preserve">esearch subject to federal funding agency policies for the conduct of the reliance relationship once it is established (such as research funded by the U.S. Department of Veterans Affairs or U.S. Department of Defense), such Mandated Policies will override the correlating terms set out in the </w:t>
      </w:r>
      <w:r>
        <w:rPr>
          <w:sz w:val="22"/>
          <w:szCs w:val="22"/>
        </w:rPr>
        <w:t>A</w:t>
      </w:r>
      <w:r w:rsidRPr="003648ED">
        <w:rPr>
          <w:sz w:val="22"/>
          <w:szCs w:val="22"/>
        </w:rPr>
        <w:t xml:space="preserve">greement. </w:t>
      </w:r>
    </w:p>
    <w:p w14:paraId="4C351B0F" w14:textId="77777777" w:rsidR="00731B94" w:rsidRPr="003648ED" w:rsidRDefault="00731B94" w:rsidP="007B1C53">
      <w:pPr>
        <w:pStyle w:val="ListParagraph"/>
        <w:spacing w:beforeLines="388" w:before="931" w:line="360" w:lineRule="auto"/>
        <w:rPr>
          <w:sz w:val="22"/>
          <w:szCs w:val="22"/>
        </w:rPr>
      </w:pPr>
    </w:p>
    <w:p w14:paraId="2C5BEFA2" w14:textId="77777777" w:rsidR="00731B94" w:rsidRPr="00B65FBE" w:rsidRDefault="00731B94" w:rsidP="007B1C53">
      <w:pPr>
        <w:pStyle w:val="ListParagraph"/>
        <w:numPr>
          <w:ilvl w:val="0"/>
          <w:numId w:val="31"/>
        </w:numPr>
        <w:spacing w:beforeLines="388" w:before="931" w:line="360" w:lineRule="auto"/>
        <w:rPr>
          <w:sz w:val="22"/>
          <w:szCs w:val="22"/>
        </w:rPr>
      </w:pPr>
      <w:r w:rsidRPr="007B1C53">
        <w:rPr>
          <w:rStyle w:val="Heading3Char"/>
        </w:rPr>
        <w:t>In the Absence of Federally Mandated Policies, Agreement Recommends But Does Not Require SMART IRB SOPs (Section 3.4.2).</w:t>
      </w:r>
      <w:r>
        <w:rPr>
          <w:sz w:val="22"/>
          <w:szCs w:val="22"/>
        </w:rPr>
        <w:t xml:space="preserve"> The Agreement </w:t>
      </w:r>
      <w:r w:rsidRPr="00FD4B87">
        <w:rPr>
          <w:sz w:val="22"/>
          <w:szCs w:val="22"/>
        </w:rPr>
        <w:t>continues t</w:t>
      </w:r>
      <w:r>
        <w:rPr>
          <w:sz w:val="22"/>
          <w:szCs w:val="22"/>
        </w:rPr>
        <w:t xml:space="preserve">o recommend that Participating </w:t>
      </w:r>
      <w:r>
        <w:rPr>
          <w:sz w:val="22"/>
          <w:szCs w:val="22"/>
        </w:rPr>
        <w:lastRenderedPageBreak/>
        <w:t xml:space="preserve">Institutions use and follow the SMART IRB SOPs for the conduct of the reliance relationship once it is established, when they are not subject to Mandated Policies. Participating Institutions retain flexibility to use alternate policies and procedures to govern the conduct of the reliance relationship; however, if they do, </w:t>
      </w:r>
      <w:r w:rsidRPr="004C74F1">
        <w:rPr>
          <w:sz w:val="22"/>
          <w:szCs w:val="22"/>
        </w:rPr>
        <w:t xml:space="preserve">the </w:t>
      </w:r>
      <w:r>
        <w:rPr>
          <w:sz w:val="22"/>
          <w:szCs w:val="22"/>
        </w:rPr>
        <w:t>A</w:t>
      </w:r>
      <w:r w:rsidRPr="004C74F1">
        <w:rPr>
          <w:sz w:val="22"/>
          <w:szCs w:val="22"/>
        </w:rPr>
        <w:t xml:space="preserve">greement provisions </w:t>
      </w:r>
      <w:r>
        <w:rPr>
          <w:sz w:val="22"/>
          <w:szCs w:val="22"/>
        </w:rPr>
        <w:t>override</w:t>
      </w:r>
      <w:r w:rsidRPr="004C74F1">
        <w:rPr>
          <w:sz w:val="22"/>
          <w:szCs w:val="22"/>
        </w:rPr>
        <w:t xml:space="preserve"> any such alternate </w:t>
      </w:r>
      <w:r>
        <w:rPr>
          <w:sz w:val="22"/>
          <w:szCs w:val="22"/>
        </w:rPr>
        <w:t>policies and procedures in</w:t>
      </w:r>
      <w:r w:rsidRPr="004C74F1">
        <w:rPr>
          <w:sz w:val="22"/>
          <w:szCs w:val="22"/>
        </w:rPr>
        <w:t xml:space="preserve"> the event of any conflict</w:t>
      </w:r>
      <w:r>
        <w:rPr>
          <w:sz w:val="22"/>
          <w:szCs w:val="22"/>
        </w:rPr>
        <w:t>.</w:t>
      </w:r>
    </w:p>
    <w:p w14:paraId="5E04E3E1" w14:textId="77777777" w:rsidR="00731B94" w:rsidRPr="003648ED" w:rsidRDefault="00731B94" w:rsidP="007B1C53">
      <w:pPr>
        <w:pStyle w:val="ListParagraph"/>
        <w:spacing w:beforeLines="388" w:before="931" w:line="360" w:lineRule="auto"/>
        <w:rPr>
          <w:sz w:val="22"/>
          <w:szCs w:val="22"/>
        </w:rPr>
      </w:pPr>
    </w:p>
    <w:p w14:paraId="7CA71A42" w14:textId="77777777" w:rsidR="00731B94" w:rsidRPr="006B6676" w:rsidRDefault="00731B94" w:rsidP="007B1C53">
      <w:pPr>
        <w:pStyle w:val="ListParagraph"/>
        <w:numPr>
          <w:ilvl w:val="0"/>
          <w:numId w:val="31"/>
        </w:numPr>
        <w:spacing w:beforeLines="388" w:before="931" w:line="360" w:lineRule="auto"/>
        <w:rPr>
          <w:sz w:val="22"/>
          <w:szCs w:val="22"/>
        </w:rPr>
      </w:pPr>
      <w:r w:rsidRPr="007B1C53">
        <w:rPr>
          <w:rStyle w:val="Heading3Char"/>
        </w:rPr>
        <w:t>Documentation of Applicable Policies Is Required; Deemed Application of SMART IRB SOP (Section 3.4.3).</w:t>
      </w:r>
      <w:r w:rsidRPr="004C74F1">
        <w:rPr>
          <w:b/>
          <w:bCs/>
          <w:sz w:val="22"/>
          <w:szCs w:val="22"/>
        </w:rPr>
        <w:t xml:space="preserve"> </w:t>
      </w:r>
      <w:r>
        <w:rPr>
          <w:sz w:val="22"/>
          <w:szCs w:val="22"/>
        </w:rPr>
        <w:t xml:space="preserve">Participating Institutions must not only communicate but now also must document among themselves what policies and procedures for the conduct of the reliance relationship will apply to their instance of reliance (Mandated Policies, SMART IRB SOPs, or alternate policies and procedures). If they do not document the applicable policies and procedures, </w:t>
      </w:r>
      <w:r w:rsidRPr="004C74F1">
        <w:rPr>
          <w:sz w:val="22"/>
          <w:szCs w:val="22"/>
        </w:rPr>
        <w:t xml:space="preserve">the SMART IRB SOPs will be deemed to apply unless </w:t>
      </w:r>
      <w:r>
        <w:rPr>
          <w:sz w:val="22"/>
          <w:szCs w:val="22"/>
        </w:rPr>
        <w:t>any Mandated Policies apply.</w:t>
      </w:r>
    </w:p>
    <w:p w14:paraId="31A748EB" w14:textId="77777777" w:rsidR="00731B94" w:rsidRDefault="00731B94" w:rsidP="007B1C53">
      <w:pPr>
        <w:spacing w:line="360" w:lineRule="auto"/>
        <w:rPr>
          <w:i/>
          <w:iCs/>
          <w:sz w:val="22"/>
          <w:szCs w:val="22"/>
        </w:rPr>
      </w:pPr>
    </w:p>
    <w:p w14:paraId="79A52B6C" w14:textId="77777777" w:rsidR="00731B94" w:rsidRPr="007B1C53" w:rsidRDefault="00731B94" w:rsidP="007B1C53">
      <w:pPr>
        <w:pStyle w:val="Heading2"/>
      </w:pPr>
      <w:r w:rsidRPr="007B1C53">
        <w:t>Changes to General Responsibilities of Participating Institutions (Section 4)</w:t>
      </w:r>
    </w:p>
    <w:p w14:paraId="507FB616" w14:textId="77777777" w:rsidR="00731B94" w:rsidRPr="004C74F1" w:rsidRDefault="00731B94" w:rsidP="007B1C53">
      <w:pPr>
        <w:spacing w:line="360" w:lineRule="auto"/>
        <w:rPr>
          <w:i/>
          <w:iCs/>
          <w:sz w:val="22"/>
          <w:szCs w:val="22"/>
        </w:rPr>
      </w:pPr>
    </w:p>
    <w:p w14:paraId="4E793A8A" w14:textId="77777777" w:rsidR="00731B94" w:rsidRDefault="00731B94" w:rsidP="007B1C53">
      <w:pPr>
        <w:pStyle w:val="ListParagraph"/>
        <w:numPr>
          <w:ilvl w:val="0"/>
          <w:numId w:val="33"/>
        </w:numPr>
        <w:spacing w:line="360" w:lineRule="auto"/>
        <w:rPr>
          <w:sz w:val="22"/>
          <w:szCs w:val="22"/>
        </w:rPr>
      </w:pPr>
      <w:r w:rsidRPr="007B1C53">
        <w:rPr>
          <w:rStyle w:val="Heading3Char"/>
        </w:rPr>
        <w:t>All Institutions Responsible for Ensuring Training and Requiring Compliance (Section 4.1).</w:t>
      </w:r>
      <w:r w:rsidRPr="004C74F1">
        <w:rPr>
          <w:sz w:val="22"/>
          <w:szCs w:val="22"/>
        </w:rPr>
        <w:t xml:space="preserve"> </w:t>
      </w:r>
      <w:r>
        <w:rPr>
          <w:sz w:val="22"/>
          <w:szCs w:val="22"/>
        </w:rPr>
        <w:t>Just as Relying Institutions must do, Reviewing IRB Institutions</w:t>
      </w:r>
      <w:r w:rsidRPr="004C74F1">
        <w:rPr>
          <w:sz w:val="22"/>
          <w:szCs w:val="22"/>
        </w:rPr>
        <w:t xml:space="preserve"> must ensure that their </w:t>
      </w:r>
      <w:r>
        <w:rPr>
          <w:sz w:val="22"/>
          <w:szCs w:val="22"/>
        </w:rPr>
        <w:t>P</w:t>
      </w:r>
      <w:r w:rsidRPr="004C74F1">
        <w:rPr>
          <w:sz w:val="22"/>
          <w:szCs w:val="22"/>
        </w:rPr>
        <w:t>ersonnel</w:t>
      </w:r>
      <w:r>
        <w:rPr>
          <w:sz w:val="22"/>
          <w:szCs w:val="22"/>
        </w:rPr>
        <w:t xml:space="preserve"> h</w:t>
      </w:r>
      <w:r w:rsidRPr="004C74F1">
        <w:rPr>
          <w:sz w:val="22"/>
          <w:szCs w:val="22"/>
        </w:rPr>
        <w:t xml:space="preserve">ave adequate education, training, qualifications, and resources to perform their obligations, and must require their </w:t>
      </w:r>
      <w:r>
        <w:rPr>
          <w:sz w:val="22"/>
          <w:szCs w:val="22"/>
        </w:rPr>
        <w:t>P</w:t>
      </w:r>
      <w:r w:rsidRPr="004C74F1">
        <w:rPr>
          <w:sz w:val="22"/>
          <w:szCs w:val="22"/>
        </w:rPr>
        <w:t xml:space="preserve">ersonnel to comply with applicable laws, regulations, policies, and the </w:t>
      </w:r>
      <w:r>
        <w:rPr>
          <w:sz w:val="22"/>
          <w:szCs w:val="22"/>
        </w:rPr>
        <w:t>A</w:t>
      </w:r>
      <w:r w:rsidRPr="004C74F1">
        <w:rPr>
          <w:sz w:val="22"/>
          <w:szCs w:val="22"/>
        </w:rPr>
        <w:t>greement.</w:t>
      </w:r>
      <w:r>
        <w:rPr>
          <w:sz w:val="22"/>
          <w:szCs w:val="22"/>
        </w:rPr>
        <w:t xml:space="preserve">  For Reviewing IRB Institutions, these responsibilities also apply with respect to their IRB members.</w:t>
      </w:r>
    </w:p>
    <w:p w14:paraId="1BC7A417" w14:textId="77777777" w:rsidR="00731B94" w:rsidRPr="009F2DA5" w:rsidRDefault="00731B94" w:rsidP="007B1C53">
      <w:pPr>
        <w:pStyle w:val="ListParagraph"/>
        <w:spacing w:line="360" w:lineRule="auto"/>
        <w:rPr>
          <w:sz w:val="22"/>
          <w:szCs w:val="22"/>
        </w:rPr>
      </w:pPr>
    </w:p>
    <w:p w14:paraId="54EEC5AB" w14:textId="77777777" w:rsidR="00731B94" w:rsidRPr="00040787" w:rsidRDefault="00731B94" w:rsidP="007B1C53">
      <w:pPr>
        <w:pStyle w:val="ListParagraph"/>
        <w:numPr>
          <w:ilvl w:val="0"/>
          <w:numId w:val="33"/>
        </w:numPr>
        <w:spacing w:beforeLines="388" w:before="931" w:line="360" w:lineRule="auto"/>
        <w:rPr>
          <w:sz w:val="22"/>
          <w:szCs w:val="22"/>
        </w:rPr>
      </w:pPr>
      <w:r w:rsidRPr="007B1C53">
        <w:rPr>
          <w:rStyle w:val="Heading3Char"/>
        </w:rPr>
        <w:t>No Obligation To Provide Documentation of Individual Personnel or IRB Member Education/Training/Qualifications (Section 4.1).</w:t>
      </w:r>
      <w:r>
        <w:rPr>
          <w:b/>
          <w:bCs/>
          <w:sz w:val="22"/>
          <w:szCs w:val="22"/>
        </w:rPr>
        <w:t xml:space="preserve"> </w:t>
      </w:r>
      <w:r w:rsidRPr="00040787">
        <w:rPr>
          <w:sz w:val="22"/>
          <w:szCs w:val="22"/>
        </w:rPr>
        <w:t xml:space="preserve">Participating Institutions </w:t>
      </w:r>
      <w:r>
        <w:rPr>
          <w:sz w:val="22"/>
          <w:szCs w:val="22"/>
        </w:rPr>
        <w:t xml:space="preserve">no longer need </w:t>
      </w:r>
      <w:r w:rsidRPr="00040787">
        <w:rPr>
          <w:sz w:val="22"/>
          <w:szCs w:val="22"/>
        </w:rPr>
        <w:t xml:space="preserve">to provide documentation to other Participating Institutions of individual Personnel or IRB </w:t>
      </w:r>
      <w:r>
        <w:rPr>
          <w:sz w:val="22"/>
          <w:szCs w:val="22"/>
        </w:rPr>
        <w:t>m</w:t>
      </w:r>
      <w:r w:rsidRPr="00040787">
        <w:rPr>
          <w:sz w:val="22"/>
          <w:szCs w:val="22"/>
        </w:rPr>
        <w:t xml:space="preserve">ember education, training or qualifications. Participating Institutions </w:t>
      </w:r>
      <w:r>
        <w:rPr>
          <w:sz w:val="22"/>
          <w:szCs w:val="22"/>
        </w:rPr>
        <w:t>must still</w:t>
      </w:r>
      <w:r w:rsidRPr="00040787">
        <w:rPr>
          <w:sz w:val="22"/>
          <w:szCs w:val="22"/>
        </w:rPr>
        <w:t xml:space="preserve"> provide descriptive information about such education, training or qualifications if requested by another Participating Institution, but the information can be provided in a general/summary fashion (such as what training all IRB </w:t>
      </w:r>
      <w:r>
        <w:rPr>
          <w:sz w:val="22"/>
          <w:szCs w:val="22"/>
        </w:rPr>
        <w:t>m</w:t>
      </w:r>
      <w:r w:rsidRPr="00040787">
        <w:rPr>
          <w:sz w:val="22"/>
          <w:szCs w:val="22"/>
        </w:rPr>
        <w:t>embers are required to take).</w:t>
      </w:r>
    </w:p>
    <w:p w14:paraId="67221D9D" w14:textId="77777777" w:rsidR="00731B94" w:rsidRPr="00040787" w:rsidRDefault="00731B94" w:rsidP="007B1C53">
      <w:pPr>
        <w:pStyle w:val="ListParagraph"/>
        <w:spacing w:line="360" w:lineRule="auto"/>
        <w:rPr>
          <w:b/>
          <w:bCs/>
          <w:sz w:val="22"/>
          <w:szCs w:val="22"/>
        </w:rPr>
      </w:pPr>
    </w:p>
    <w:p w14:paraId="22D710D7" w14:textId="77777777" w:rsidR="00731B94" w:rsidRDefault="00731B94" w:rsidP="007B1C53">
      <w:pPr>
        <w:pStyle w:val="ListParagraph"/>
        <w:numPr>
          <w:ilvl w:val="0"/>
          <w:numId w:val="33"/>
        </w:numPr>
        <w:spacing w:beforeLines="388" w:before="931" w:line="360" w:lineRule="auto"/>
        <w:rPr>
          <w:sz w:val="22"/>
          <w:szCs w:val="22"/>
        </w:rPr>
      </w:pPr>
      <w:r w:rsidRPr="007B1C53">
        <w:rPr>
          <w:rStyle w:val="Heading3Char"/>
        </w:rPr>
        <w:t>Obligation To Correct Noncompliance and Resolve Concerns in Good Faith (Sections 4.2, 4.3, and 4.6.2).</w:t>
      </w:r>
      <w:r w:rsidRPr="004C74F1">
        <w:rPr>
          <w:sz w:val="22"/>
          <w:szCs w:val="22"/>
        </w:rPr>
        <w:t xml:space="preserve"> Participating Institutions must correct noncompliance with applicable laws, regulations, policies, and the </w:t>
      </w:r>
      <w:r>
        <w:rPr>
          <w:sz w:val="22"/>
          <w:szCs w:val="22"/>
        </w:rPr>
        <w:t>A</w:t>
      </w:r>
      <w:r w:rsidRPr="004C74F1">
        <w:rPr>
          <w:sz w:val="22"/>
          <w:szCs w:val="22"/>
        </w:rPr>
        <w:t xml:space="preserve">greement. In regard to potential noncompliance with </w:t>
      </w:r>
      <w:r>
        <w:rPr>
          <w:sz w:val="22"/>
          <w:szCs w:val="22"/>
        </w:rPr>
        <w:t xml:space="preserve">or </w:t>
      </w:r>
      <w:r w:rsidRPr="004C74F1">
        <w:rPr>
          <w:sz w:val="22"/>
          <w:szCs w:val="22"/>
        </w:rPr>
        <w:t xml:space="preserve">breach of the </w:t>
      </w:r>
      <w:r>
        <w:rPr>
          <w:sz w:val="22"/>
          <w:szCs w:val="22"/>
        </w:rPr>
        <w:t>A</w:t>
      </w:r>
      <w:r w:rsidRPr="004C74F1">
        <w:rPr>
          <w:sz w:val="22"/>
          <w:szCs w:val="22"/>
        </w:rPr>
        <w:t xml:space="preserve">greement terms, affected Participating Institutions must work with one another in good faith to try to resolve concerns, and may attempt to resolve them through third-party consultations or other means, without waiving any rights under the </w:t>
      </w:r>
      <w:r>
        <w:rPr>
          <w:sz w:val="22"/>
          <w:szCs w:val="22"/>
        </w:rPr>
        <w:t>A</w:t>
      </w:r>
      <w:r w:rsidRPr="004C74F1">
        <w:rPr>
          <w:sz w:val="22"/>
          <w:szCs w:val="22"/>
        </w:rPr>
        <w:t>greement.</w:t>
      </w:r>
    </w:p>
    <w:p w14:paraId="2FADC4CC" w14:textId="77777777" w:rsidR="00731B94" w:rsidRPr="00783E3D" w:rsidRDefault="00731B94" w:rsidP="007B1C53">
      <w:pPr>
        <w:pStyle w:val="ListParagraph"/>
        <w:spacing w:line="360" w:lineRule="auto"/>
        <w:rPr>
          <w:sz w:val="22"/>
          <w:szCs w:val="22"/>
        </w:rPr>
      </w:pPr>
    </w:p>
    <w:p w14:paraId="3863A4E5" w14:textId="77777777" w:rsidR="00731B94" w:rsidRPr="004C74F1" w:rsidRDefault="00731B94" w:rsidP="007B1C53">
      <w:pPr>
        <w:pStyle w:val="ListParagraph"/>
        <w:numPr>
          <w:ilvl w:val="0"/>
          <w:numId w:val="33"/>
        </w:numPr>
        <w:spacing w:line="360" w:lineRule="auto"/>
        <w:rPr>
          <w:sz w:val="22"/>
          <w:szCs w:val="22"/>
        </w:rPr>
      </w:pPr>
      <w:r w:rsidRPr="007B1C53">
        <w:rPr>
          <w:rStyle w:val="Heading3Char"/>
        </w:rPr>
        <w:t>Notification of Federal For-Cause Investigations Required (Section 4.6.1).</w:t>
      </w:r>
      <w:r w:rsidRPr="004C74F1">
        <w:rPr>
          <w:b/>
          <w:bCs/>
          <w:sz w:val="22"/>
          <w:szCs w:val="22"/>
        </w:rPr>
        <w:t xml:space="preserve"> </w:t>
      </w:r>
      <w:r w:rsidRPr="004C74F1">
        <w:rPr>
          <w:sz w:val="22"/>
          <w:szCs w:val="22"/>
        </w:rPr>
        <w:t xml:space="preserve">Participating Institutions must notify other Participating Institutions with whom they are then in a reliance relationship of any for-cause compliance investigations of the notifying institution or its </w:t>
      </w:r>
      <w:r>
        <w:rPr>
          <w:sz w:val="22"/>
          <w:szCs w:val="22"/>
        </w:rPr>
        <w:t>P</w:t>
      </w:r>
      <w:r w:rsidRPr="004C74F1">
        <w:rPr>
          <w:sz w:val="22"/>
          <w:szCs w:val="22"/>
        </w:rPr>
        <w:t>ersonnel by</w:t>
      </w:r>
      <w:r>
        <w:rPr>
          <w:sz w:val="22"/>
          <w:szCs w:val="22"/>
        </w:rPr>
        <w:t xml:space="preserve"> the </w:t>
      </w:r>
      <w:r w:rsidRPr="00CE5120">
        <w:rPr>
          <w:sz w:val="22"/>
          <w:szCs w:val="22"/>
        </w:rPr>
        <w:t>Office for Human Research Protections</w:t>
      </w:r>
      <w:r w:rsidRPr="00925E3D">
        <w:rPr>
          <w:sz w:val="22"/>
          <w:szCs w:val="22"/>
        </w:rPr>
        <w:t> </w:t>
      </w:r>
      <w:r>
        <w:rPr>
          <w:sz w:val="22"/>
          <w:szCs w:val="22"/>
        </w:rPr>
        <w:t>(</w:t>
      </w:r>
      <w:r w:rsidRPr="004C74F1">
        <w:rPr>
          <w:sz w:val="22"/>
          <w:szCs w:val="22"/>
        </w:rPr>
        <w:t>OHRP</w:t>
      </w:r>
      <w:r>
        <w:rPr>
          <w:sz w:val="22"/>
          <w:szCs w:val="22"/>
        </w:rPr>
        <w:t>)</w:t>
      </w:r>
      <w:r w:rsidRPr="004C74F1">
        <w:rPr>
          <w:sz w:val="22"/>
          <w:szCs w:val="22"/>
        </w:rPr>
        <w:t xml:space="preserve">, </w:t>
      </w:r>
      <w:r>
        <w:rPr>
          <w:sz w:val="22"/>
          <w:szCs w:val="22"/>
        </w:rPr>
        <w:t>Food and Drug Administration (</w:t>
      </w:r>
      <w:r w:rsidRPr="004C74F1">
        <w:rPr>
          <w:sz w:val="22"/>
          <w:szCs w:val="22"/>
        </w:rPr>
        <w:t>FDA</w:t>
      </w:r>
      <w:r>
        <w:rPr>
          <w:sz w:val="22"/>
          <w:szCs w:val="22"/>
        </w:rPr>
        <w:t>)</w:t>
      </w:r>
      <w:r w:rsidRPr="004C74F1">
        <w:rPr>
          <w:sz w:val="22"/>
          <w:szCs w:val="22"/>
        </w:rPr>
        <w:t xml:space="preserve">, </w:t>
      </w:r>
      <w:r w:rsidRPr="0034483E">
        <w:rPr>
          <w:sz w:val="22"/>
          <w:szCs w:val="22"/>
        </w:rPr>
        <w:t>National Institutes of Health (</w:t>
      </w:r>
      <w:r w:rsidRPr="00925E3D">
        <w:rPr>
          <w:sz w:val="22"/>
          <w:szCs w:val="22"/>
        </w:rPr>
        <w:t>NIH</w:t>
      </w:r>
      <w:r>
        <w:rPr>
          <w:sz w:val="22"/>
          <w:szCs w:val="22"/>
        </w:rPr>
        <w:t>)</w:t>
      </w:r>
      <w:r w:rsidRPr="004C74F1">
        <w:rPr>
          <w:sz w:val="22"/>
          <w:szCs w:val="22"/>
        </w:rPr>
        <w:t xml:space="preserve">, or other federal human subjects research regulatory or funding agencies, when the investigation is related to the </w:t>
      </w:r>
      <w:r>
        <w:rPr>
          <w:sz w:val="22"/>
          <w:szCs w:val="22"/>
        </w:rPr>
        <w:t>R</w:t>
      </w:r>
      <w:r w:rsidRPr="004C74F1">
        <w:rPr>
          <w:sz w:val="22"/>
          <w:szCs w:val="22"/>
        </w:rPr>
        <w:t xml:space="preserve">esearch under review </w:t>
      </w:r>
      <w:r>
        <w:rPr>
          <w:sz w:val="22"/>
          <w:szCs w:val="22"/>
        </w:rPr>
        <w:t xml:space="preserve">or for which an Exemption Determination was provided </w:t>
      </w:r>
      <w:r w:rsidRPr="004C74F1">
        <w:rPr>
          <w:sz w:val="22"/>
          <w:szCs w:val="22"/>
        </w:rPr>
        <w:t xml:space="preserve">or </w:t>
      </w:r>
      <w:r>
        <w:rPr>
          <w:sz w:val="22"/>
          <w:szCs w:val="22"/>
        </w:rPr>
        <w:t xml:space="preserve">when the investigation </w:t>
      </w:r>
      <w:r w:rsidRPr="004C74F1">
        <w:rPr>
          <w:sz w:val="22"/>
          <w:szCs w:val="22"/>
        </w:rPr>
        <w:t xml:space="preserve">could affect the conduct or the integrity of such </w:t>
      </w:r>
      <w:r>
        <w:rPr>
          <w:sz w:val="22"/>
          <w:szCs w:val="22"/>
        </w:rPr>
        <w:t>R</w:t>
      </w:r>
      <w:r w:rsidRPr="004C74F1">
        <w:rPr>
          <w:sz w:val="22"/>
          <w:szCs w:val="22"/>
        </w:rPr>
        <w:t>esearch, the rights or welfare of participants, or the Reviewing IRB/Reviewing IRB Institution’s authority or ability to perform its review and oversight obligations.</w:t>
      </w:r>
    </w:p>
    <w:p w14:paraId="61B9B669" w14:textId="77777777" w:rsidR="00731B94" w:rsidRPr="004C74F1" w:rsidRDefault="00731B94" w:rsidP="007B1C53">
      <w:pPr>
        <w:pStyle w:val="ListParagraph"/>
        <w:spacing w:beforeLines="388" w:before="931" w:line="360" w:lineRule="auto"/>
        <w:rPr>
          <w:sz w:val="22"/>
          <w:szCs w:val="22"/>
        </w:rPr>
      </w:pPr>
    </w:p>
    <w:p w14:paraId="2C97D674" w14:textId="77777777" w:rsidR="00731B94" w:rsidRPr="004C74F1" w:rsidRDefault="00731B94" w:rsidP="007B1C53">
      <w:pPr>
        <w:pStyle w:val="ListParagraph"/>
        <w:numPr>
          <w:ilvl w:val="0"/>
          <w:numId w:val="33"/>
        </w:numPr>
        <w:spacing w:beforeLines="388" w:before="931" w:line="360" w:lineRule="auto"/>
        <w:rPr>
          <w:sz w:val="22"/>
          <w:szCs w:val="22"/>
        </w:rPr>
      </w:pPr>
      <w:r w:rsidRPr="007B1C53">
        <w:rPr>
          <w:rStyle w:val="Heading3Char"/>
        </w:rPr>
        <w:t>Self-Funded Liability Coverage Meets Insurance Requirement; No Insurance Requirement for Government/Public Institutions (Section 4.9).</w:t>
      </w:r>
      <w:r w:rsidRPr="004C74F1">
        <w:rPr>
          <w:sz w:val="22"/>
          <w:szCs w:val="22"/>
        </w:rPr>
        <w:t xml:space="preserve"> Participating Institution</w:t>
      </w:r>
      <w:r>
        <w:rPr>
          <w:sz w:val="22"/>
          <w:szCs w:val="22"/>
        </w:rPr>
        <w:t xml:space="preserve">s that are </w:t>
      </w:r>
      <w:r w:rsidRPr="004C74F1">
        <w:rPr>
          <w:sz w:val="22"/>
          <w:szCs w:val="22"/>
        </w:rPr>
        <w:t>private institution</w:t>
      </w:r>
      <w:r>
        <w:rPr>
          <w:sz w:val="22"/>
          <w:szCs w:val="22"/>
        </w:rPr>
        <w:t>s may</w:t>
      </w:r>
      <w:r w:rsidRPr="004C74F1">
        <w:rPr>
          <w:sz w:val="22"/>
          <w:szCs w:val="22"/>
        </w:rPr>
        <w:t xml:space="preserve"> rely on self-funded liability coverage (instead of or in addition to traditional insurance policies) to satisfy the </w:t>
      </w:r>
      <w:r>
        <w:rPr>
          <w:sz w:val="22"/>
          <w:szCs w:val="22"/>
        </w:rPr>
        <w:t>A</w:t>
      </w:r>
      <w:r w:rsidRPr="004C74F1">
        <w:rPr>
          <w:sz w:val="22"/>
          <w:szCs w:val="22"/>
        </w:rPr>
        <w:t xml:space="preserve">greement’s insurance requirement. All government/public institutions (whether federal, state, or local) are exempted from the </w:t>
      </w:r>
      <w:r>
        <w:rPr>
          <w:sz w:val="22"/>
          <w:szCs w:val="22"/>
        </w:rPr>
        <w:t>A</w:t>
      </w:r>
      <w:r w:rsidRPr="004C74F1">
        <w:rPr>
          <w:sz w:val="22"/>
          <w:szCs w:val="22"/>
        </w:rPr>
        <w:t xml:space="preserve">greement’s insurance requirement. </w:t>
      </w:r>
    </w:p>
    <w:p w14:paraId="580AE0BA" w14:textId="77777777" w:rsidR="00731B94" w:rsidRDefault="00731B94" w:rsidP="007B1C53">
      <w:pPr>
        <w:spacing w:line="360" w:lineRule="auto"/>
        <w:rPr>
          <w:b/>
          <w:bCs/>
          <w:i/>
          <w:iCs/>
          <w:sz w:val="22"/>
          <w:szCs w:val="22"/>
        </w:rPr>
      </w:pPr>
    </w:p>
    <w:p w14:paraId="345C2F70" w14:textId="77777777" w:rsidR="00731B94" w:rsidRPr="007B1C53" w:rsidRDefault="00731B94" w:rsidP="007B1C53">
      <w:pPr>
        <w:pStyle w:val="Heading2"/>
      </w:pPr>
      <w:r w:rsidRPr="007B1C53">
        <w:t>Changes to Indemnification Provisions (Section 4.10 and Exhibit C - SMART IRB Indemnification Addendum)</w:t>
      </w:r>
    </w:p>
    <w:p w14:paraId="4F94BCCB" w14:textId="77777777" w:rsidR="00731B94" w:rsidRPr="004C74F1" w:rsidRDefault="00731B94" w:rsidP="007B1C53">
      <w:pPr>
        <w:spacing w:line="360" w:lineRule="auto"/>
        <w:rPr>
          <w:i/>
          <w:iCs/>
          <w:sz w:val="22"/>
          <w:szCs w:val="22"/>
        </w:rPr>
      </w:pPr>
    </w:p>
    <w:p w14:paraId="181BA12C" w14:textId="77777777" w:rsidR="00731B94" w:rsidRPr="004C74F1" w:rsidRDefault="00731B94" w:rsidP="007B1C53">
      <w:pPr>
        <w:pStyle w:val="ListParagraph"/>
        <w:numPr>
          <w:ilvl w:val="0"/>
          <w:numId w:val="33"/>
        </w:numPr>
        <w:spacing w:line="360" w:lineRule="auto"/>
        <w:rPr>
          <w:b/>
          <w:bCs/>
          <w:sz w:val="22"/>
          <w:szCs w:val="22"/>
        </w:rPr>
      </w:pPr>
      <w:r w:rsidRPr="007B1C53">
        <w:rPr>
          <w:rStyle w:val="Heading3Char"/>
        </w:rPr>
        <w:t>New SMART IRB Indemnification Addendum Provided as Option for Participating Institutions Seeking Indemnification.</w:t>
      </w:r>
      <w:r w:rsidRPr="004C74F1">
        <w:rPr>
          <w:b/>
          <w:bCs/>
          <w:sz w:val="22"/>
          <w:szCs w:val="22"/>
        </w:rPr>
        <w:t xml:space="preserve"> </w:t>
      </w:r>
      <w:r w:rsidRPr="004C74F1">
        <w:rPr>
          <w:sz w:val="22"/>
          <w:szCs w:val="22"/>
        </w:rPr>
        <w:t>Entering indemnification agreements continues to be optional</w:t>
      </w:r>
      <w:r>
        <w:rPr>
          <w:sz w:val="22"/>
          <w:szCs w:val="22"/>
        </w:rPr>
        <w:t>; however</w:t>
      </w:r>
      <w:r w:rsidRPr="004C74F1">
        <w:rPr>
          <w:sz w:val="22"/>
          <w:szCs w:val="22"/>
        </w:rPr>
        <w:t xml:space="preserve">, the </w:t>
      </w:r>
      <w:r>
        <w:rPr>
          <w:sz w:val="22"/>
          <w:szCs w:val="22"/>
        </w:rPr>
        <w:t>A</w:t>
      </w:r>
      <w:r w:rsidRPr="004C74F1">
        <w:rPr>
          <w:sz w:val="22"/>
          <w:szCs w:val="22"/>
        </w:rPr>
        <w:t xml:space="preserve">greement </w:t>
      </w:r>
      <w:r>
        <w:rPr>
          <w:sz w:val="22"/>
          <w:szCs w:val="22"/>
        </w:rPr>
        <w:t xml:space="preserve">now </w:t>
      </w:r>
      <w:r w:rsidRPr="004C74F1">
        <w:rPr>
          <w:sz w:val="22"/>
          <w:szCs w:val="22"/>
        </w:rPr>
        <w:t>contains a new SMART IRB Indemnification Addendum for Participating Institutions that wish to join it.</w:t>
      </w:r>
      <w:r>
        <w:rPr>
          <w:sz w:val="22"/>
          <w:szCs w:val="22"/>
        </w:rPr>
        <w:t xml:space="preserve"> The SMART IRB Indemnification Addendum addresses allocation of financial liability or responsibility between a Reviewing IRB/Reviewing IRB Institution and a Relying Institution resulting from their activities under the Agreement. Whether a Participating Institution elects to join the SMART IRB Indemnification Addendum has no effect on the institution’s eligibility to participate in the Agreement. If a Participating Institution joins the SMART IRB Indemnification Addendum, separate indemnification agreements entered by that Participating Institution prior to joining the SMART IRB Indemnification Addendum will continue to apply to Covered Activities initiated under those separate agreements. Participating Institutions that join the SMART IRB Indemnification Addendum can also agree among themselves to limit its scope to certain studies, and they remain free to enter separate indemnification agreements for other studies outside that scope. Note that public institutions, including federal departments and agencies, may join the SMART IRB Indemnification Addendum, but in the </w:t>
      </w:r>
      <w:r>
        <w:rPr>
          <w:sz w:val="22"/>
          <w:szCs w:val="22"/>
        </w:rPr>
        <w:lastRenderedPageBreak/>
        <w:t xml:space="preserve">case of federal departments and agencies specifically, the Agreement and the Addendum exempt federal departments and agencies from providing indemnification to other Participating Institutions. </w:t>
      </w:r>
    </w:p>
    <w:p w14:paraId="7702DE43" w14:textId="77777777" w:rsidR="00731B94" w:rsidRPr="004C74F1" w:rsidRDefault="00731B94" w:rsidP="007B1C53">
      <w:pPr>
        <w:pStyle w:val="ListParagraph"/>
        <w:spacing w:beforeLines="388" w:before="931" w:line="360" w:lineRule="auto"/>
        <w:rPr>
          <w:sz w:val="22"/>
          <w:szCs w:val="22"/>
        </w:rPr>
      </w:pPr>
    </w:p>
    <w:p w14:paraId="4415A2E8" w14:textId="77777777" w:rsidR="00731B94" w:rsidRPr="007B1C53" w:rsidRDefault="00731B94" w:rsidP="007B1C53">
      <w:pPr>
        <w:pStyle w:val="Heading2"/>
      </w:pPr>
      <w:r w:rsidRPr="007B1C53">
        <w:t>Changes to HIPAA Provisions (Section 4.4)</w:t>
      </w:r>
    </w:p>
    <w:p w14:paraId="0D176DC9" w14:textId="77777777" w:rsidR="00731B94" w:rsidRPr="004C74F1" w:rsidRDefault="00731B94" w:rsidP="007B1C53">
      <w:pPr>
        <w:spacing w:line="360" w:lineRule="auto"/>
        <w:rPr>
          <w:i/>
          <w:iCs/>
          <w:sz w:val="22"/>
          <w:szCs w:val="22"/>
        </w:rPr>
      </w:pPr>
    </w:p>
    <w:p w14:paraId="56DB60C8" w14:textId="77777777" w:rsidR="00731B94" w:rsidRPr="006B6676" w:rsidRDefault="00731B94" w:rsidP="007B1C53">
      <w:pPr>
        <w:pStyle w:val="ListParagraph"/>
        <w:numPr>
          <w:ilvl w:val="0"/>
          <w:numId w:val="33"/>
        </w:numPr>
        <w:spacing w:line="360" w:lineRule="auto"/>
        <w:rPr>
          <w:b/>
          <w:bCs/>
          <w:sz w:val="22"/>
          <w:szCs w:val="22"/>
        </w:rPr>
      </w:pPr>
      <w:r w:rsidRPr="007B1C53">
        <w:rPr>
          <w:rStyle w:val="Heading3Char"/>
        </w:rPr>
        <w:t>Relying Institutions Determine How HIPAA Authorization Forms and Waivers of HIPAA Authorization are Addressed.</w:t>
      </w:r>
      <w:r w:rsidRPr="004C74F1">
        <w:rPr>
          <w:b/>
          <w:bCs/>
          <w:sz w:val="22"/>
          <w:szCs w:val="22"/>
        </w:rPr>
        <w:t xml:space="preserve"> </w:t>
      </w:r>
      <w:r w:rsidRPr="004C74F1">
        <w:rPr>
          <w:sz w:val="22"/>
          <w:szCs w:val="22"/>
        </w:rPr>
        <w:t xml:space="preserve">Relying Institutions that are HIPAA Covered Entities determine whether they will provide their own HIPAA authorization forms and </w:t>
      </w:r>
      <w:r>
        <w:rPr>
          <w:sz w:val="22"/>
          <w:szCs w:val="22"/>
        </w:rPr>
        <w:t>obtain</w:t>
      </w:r>
      <w:r w:rsidRPr="004C74F1">
        <w:rPr>
          <w:sz w:val="22"/>
          <w:szCs w:val="22"/>
        </w:rPr>
        <w:t xml:space="preserve"> their own HIPAA waiver determinations for </w:t>
      </w:r>
      <w:r>
        <w:rPr>
          <w:sz w:val="22"/>
          <w:szCs w:val="22"/>
        </w:rPr>
        <w:t>R</w:t>
      </w:r>
      <w:r w:rsidRPr="004C74F1">
        <w:rPr>
          <w:sz w:val="22"/>
          <w:szCs w:val="22"/>
        </w:rPr>
        <w:t xml:space="preserve">esearch or whether they will request the Reviewing IRB Institution/Reviewing IRB to provide such forms and perform such determinations. Reviewing IRB Institutions/Reviewing IRBs that are federal departments or agencies, that are not HIPAA Covered Entities, or that otherwise do not provide such forms or perform such determinations (whatever the reason) are not obligated to agree to a request. Even when the Reviewing IRB Institution/Reviewing IRB agrees to provide such forms or perform such determinations, Local Considerations (if any) identified by the Relying Institution drive whether the HIPAA authorization form is merged into the </w:t>
      </w:r>
      <w:r>
        <w:rPr>
          <w:sz w:val="22"/>
          <w:szCs w:val="22"/>
        </w:rPr>
        <w:t>r</w:t>
      </w:r>
      <w:r w:rsidRPr="004C74F1">
        <w:rPr>
          <w:sz w:val="22"/>
          <w:szCs w:val="22"/>
        </w:rPr>
        <w:t xml:space="preserve">esearch informed consent form and whether a waiver of HIPAA authorization is ultimately approvable. </w:t>
      </w:r>
      <w:r>
        <w:rPr>
          <w:sz w:val="22"/>
          <w:szCs w:val="22"/>
        </w:rPr>
        <w:t>The party providing an authorization ensures that the form contains HIPAA’s required elements and statements for an authorization and that the form permits the use and disclosure of Protected Health Information as necessary for the Research.</w:t>
      </w:r>
    </w:p>
    <w:p w14:paraId="391CAB4E" w14:textId="77777777" w:rsidR="00731B94" w:rsidRPr="00395F19" w:rsidRDefault="00731B94" w:rsidP="007B1C53">
      <w:pPr>
        <w:pStyle w:val="ListParagraph"/>
        <w:spacing w:line="360" w:lineRule="auto"/>
        <w:rPr>
          <w:b/>
          <w:bCs/>
          <w:sz w:val="22"/>
          <w:szCs w:val="22"/>
        </w:rPr>
      </w:pPr>
    </w:p>
    <w:p w14:paraId="1BE4903A" w14:textId="77777777" w:rsidR="00731B94" w:rsidRPr="00783E3D" w:rsidRDefault="00731B94" w:rsidP="007B1C53">
      <w:pPr>
        <w:pStyle w:val="ListParagraph"/>
        <w:numPr>
          <w:ilvl w:val="0"/>
          <w:numId w:val="33"/>
        </w:numPr>
        <w:spacing w:line="360" w:lineRule="auto"/>
        <w:rPr>
          <w:b/>
          <w:bCs/>
          <w:sz w:val="22"/>
          <w:szCs w:val="22"/>
        </w:rPr>
      </w:pPr>
      <w:r w:rsidRPr="007B1C53">
        <w:rPr>
          <w:rStyle w:val="Heading3Char"/>
        </w:rPr>
        <w:t>Reviewing IRBs/Reviewing IRB Institutions Are Not Required To Ensure Compliance of a HIPAA Waiver/Alteration of Authorization Obtained by a Relying Institution.</w:t>
      </w:r>
      <w:r w:rsidRPr="004C74F1">
        <w:rPr>
          <w:sz w:val="22"/>
          <w:szCs w:val="22"/>
        </w:rPr>
        <w:t xml:space="preserve"> </w:t>
      </w:r>
      <w:r>
        <w:rPr>
          <w:sz w:val="22"/>
          <w:szCs w:val="22"/>
        </w:rPr>
        <w:t xml:space="preserve">Just as </w:t>
      </w:r>
      <w:r w:rsidRPr="0009146A">
        <w:rPr>
          <w:sz w:val="22"/>
          <w:szCs w:val="22"/>
        </w:rPr>
        <w:t>a Reviewing IRB/Reviewing IRB Institution has no obligation to ensure that a HIPAA authorization supplied by a Relying Institution complies with HIPAA’s requirements for an authorization</w:t>
      </w:r>
      <w:r>
        <w:rPr>
          <w:sz w:val="22"/>
          <w:szCs w:val="22"/>
        </w:rPr>
        <w:t xml:space="preserve">, Version 3.0 </w:t>
      </w:r>
      <w:r w:rsidRPr="0009146A">
        <w:rPr>
          <w:sz w:val="22"/>
          <w:szCs w:val="22"/>
        </w:rPr>
        <w:t>explicitly acknowledge</w:t>
      </w:r>
      <w:r>
        <w:rPr>
          <w:sz w:val="22"/>
          <w:szCs w:val="22"/>
        </w:rPr>
        <w:t>s</w:t>
      </w:r>
      <w:r w:rsidRPr="0009146A">
        <w:rPr>
          <w:sz w:val="22"/>
          <w:szCs w:val="22"/>
        </w:rPr>
        <w:t xml:space="preserve"> that a Reviewing IRB/Reviewing IRB Institution has no obligation to ensure that a HIPAA waiver/alteration of authorization obtained by a Relying Institution complies with HIPAA’s requirements for such a waiver/alteration or for documentation of the same. </w:t>
      </w:r>
    </w:p>
    <w:p w14:paraId="2A7DC016" w14:textId="77777777" w:rsidR="00731B94" w:rsidRDefault="00731B94" w:rsidP="007B1C53">
      <w:pPr>
        <w:spacing w:line="360" w:lineRule="auto"/>
        <w:ind w:left="360"/>
        <w:rPr>
          <w:i/>
          <w:iCs/>
          <w:sz w:val="22"/>
          <w:szCs w:val="22"/>
        </w:rPr>
      </w:pPr>
    </w:p>
    <w:p w14:paraId="353EDC9E" w14:textId="77777777" w:rsidR="00731B94" w:rsidRPr="007B1C53" w:rsidRDefault="00731B94" w:rsidP="007B1C53">
      <w:pPr>
        <w:pStyle w:val="Heading2"/>
      </w:pPr>
      <w:r w:rsidRPr="007B1C53">
        <w:t>Changes to Reviewing IRB Responsibilities (Section 5)</w:t>
      </w:r>
    </w:p>
    <w:p w14:paraId="47A25DF5" w14:textId="77777777" w:rsidR="00731B94" w:rsidRPr="00783E3D" w:rsidRDefault="00731B94" w:rsidP="007B1C53">
      <w:pPr>
        <w:spacing w:line="360" w:lineRule="auto"/>
        <w:ind w:left="360"/>
        <w:rPr>
          <w:b/>
          <w:bCs/>
          <w:sz w:val="22"/>
          <w:szCs w:val="22"/>
        </w:rPr>
      </w:pPr>
    </w:p>
    <w:p w14:paraId="3AFB6190" w14:textId="77777777" w:rsidR="00731B94" w:rsidRPr="004C74F1" w:rsidRDefault="00731B94" w:rsidP="007B1C53">
      <w:pPr>
        <w:pStyle w:val="ListParagraph"/>
        <w:numPr>
          <w:ilvl w:val="0"/>
          <w:numId w:val="33"/>
        </w:numPr>
        <w:spacing w:line="360" w:lineRule="auto"/>
        <w:rPr>
          <w:sz w:val="22"/>
          <w:szCs w:val="22"/>
        </w:rPr>
      </w:pPr>
      <w:r w:rsidRPr="007B1C53">
        <w:rPr>
          <w:rStyle w:val="Heading3Char"/>
        </w:rPr>
        <w:t>Common Rule as Standard for Research Not Subject to Federal Human Subjects Regulations (Section 5.4.1.2).</w:t>
      </w:r>
      <w:r w:rsidRPr="004C74F1">
        <w:rPr>
          <w:b/>
          <w:bCs/>
          <w:sz w:val="22"/>
          <w:szCs w:val="22"/>
        </w:rPr>
        <w:t xml:space="preserve"> </w:t>
      </w:r>
      <w:r w:rsidRPr="004C74F1">
        <w:rPr>
          <w:sz w:val="22"/>
          <w:szCs w:val="22"/>
        </w:rPr>
        <w:t xml:space="preserve">When reviewing </w:t>
      </w:r>
      <w:r>
        <w:rPr>
          <w:sz w:val="22"/>
          <w:szCs w:val="22"/>
        </w:rPr>
        <w:t>R</w:t>
      </w:r>
      <w:r w:rsidRPr="004C74F1">
        <w:rPr>
          <w:sz w:val="22"/>
          <w:szCs w:val="22"/>
        </w:rPr>
        <w:t>esearch that is not federally funded, FDA</w:t>
      </w:r>
      <w:r>
        <w:rPr>
          <w:sz w:val="22"/>
          <w:szCs w:val="22"/>
        </w:rPr>
        <w:t>-</w:t>
      </w:r>
      <w:r w:rsidRPr="004C74F1">
        <w:rPr>
          <w:sz w:val="22"/>
          <w:szCs w:val="22"/>
        </w:rPr>
        <w:t xml:space="preserve">regulated, or otherwise subject to </w:t>
      </w:r>
      <w:r>
        <w:rPr>
          <w:sz w:val="22"/>
          <w:szCs w:val="22"/>
        </w:rPr>
        <w:t xml:space="preserve">federal </w:t>
      </w:r>
      <w:r w:rsidRPr="004C74F1">
        <w:rPr>
          <w:sz w:val="22"/>
          <w:szCs w:val="22"/>
        </w:rPr>
        <w:t xml:space="preserve">human subjects protection regulations, the Reviewing IRB will apply Common Rule standards to the review (e.g., Common Rule criteria for approval of the </w:t>
      </w:r>
      <w:r>
        <w:rPr>
          <w:sz w:val="22"/>
          <w:szCs w:val="22"/>
        </w:rPr>
        <w:t>R</w:t>
      </w:r>
      <w:r w:rsidRPr="004C74F1">
        <w:rPr>
          <w:sz w:val="22"/>
          <w:szCs w:val="22"/>
        </w:rPr>
        <w:t xml:space="preserve">esearch), unless a different standard is agreed upon </w:t>
      </w:r>
      <w:r>
        <w:rPr>
          <w:sz w:val="22"/>
          <w:szCs w:val="22"/>
        </w:rPr>
        <w:t xml:space="preserve">and documented </w:t>
      </w:r>
      <w:r w:rsidRPr="004C74F1">
        <w:rPr>
          <w:sz w:val="22"/>
          <w:szCs w:val="22"/>
        </w:rPr>
        <w:t xml:space="preserve">by the Reviewing IRB and Relying Institution. </w:t>
      </w:r>
      <w:r>
        <w:rPr>
          <w:sz w:val="22"/>
          <w:szCs w:val="22"/>
        </w:rPr>
        <w:t xml:space="preserve">Note that this </w:t>
      </w:r>
      <w:r>
        <w:rPr>
          <w:sz w:val="22"/>
          <w:szCs w:val="22"/>
        </w:rPr>
        <w:lastRenderedPageBreak/>
        <w:t>provision does not require the parties to comply with the Common Rule’s provisions on external reporting to federal departments or agencies.</w:t>
      </w:r>
      <w:r w:rsidRPr="004C74F1">
        <w:rPr>
          <w:sz w:val="22"/>
          <w:szCs w:val="22"/>
        </w:rPr>
        <w:t xml:space="preserve"> </w:t>
      </w:r>
    </w:p>
    <w:p w14:paraId="58DA97D2" w14:textId="77777777" w:rsidR="00731B94" w:rsidRPr="009C0BFE" w:rsidRDefault="00731B94" w:rsidP="007B1C53">
      <w:pPr>
        <w:spacing w:line="360" w:lineRule="auto"/>
        <w:rPr>
          <w:b/>
          <w:bCs/>
          <w:sz w:val="22"/>
          <w:szCs w:val="22"/>
        </w:rPr>
      </w:pPr>
    </w:p>
    <w:p w14:paraId="54FF2A34" w14:textId="77777777" w:rsidR="00731B94" w:rsidRPr="004C74F1" w:rsidRDefault="00731B94" w:rsidP="007B1C53">
      <w:pPr>
        <w:pStyle w:val="ListParagraph"/>
        <w:numPr>
          <w:ilvl w:val="0"/>
          <w:numId w:val="33"/>
        </w:numPr>
        <w:spacing w:line="360" w:lineRule="auto"/>
        <w:rPr>
          <w:sz w:val="22"/>
          <w:szCs w:val="22"/>
        </w:rPr>
      </w:pPr>
      <w:r w:rsidRPr="007B1C53">
        <w:rPr>
          <w:rStyle w:val="Heading3Char"/>
        </w:rPr>
        <w:t>Reviewing IRBs Must Consider Certain Requests To Customize Consent Form/Scripts (Section 5.6).</w:t>
      </w:r>
      <w:r w:rsidRPr="004C74F1">
        <w:rPr>
          <w:b/>
          <w:bCs/>
          <w:sz w:val="22"/>
          <w:szCs w:val="22"/>
        </w:rPr>
        <w:t xml:space="preserve"> </w:t>
      </w:r>
      <w:r w:rsidRPr="004C74F1">
        <w:rPr>
          <w:sz w:val="22"/>
          <w:szCs w:val="22"/>
        </w:rPr>
        <w:t>The Reviewing IRB will consider a Relying Institution’s requests for institution-specific modifications to consent forms</w:t>
      </w:r>
      <w:r>
        <w:rPr>
          <w:sz w:val="22"/>
          <w:szCs w:val="22"/>
        </w:rPr>
        <w:t>/consent scripts</w:t>
      </w:r>
      <w:r w:rsidRPr="004C74F1">
        <w:rPr>
          <w:sz w:val="22"/>
          <w:szCs w:val="22"/>
        </w:rPr>
        <w:t xml:space="preserve"> that are necessary to address legal or regulatory issues</w:t>
      </w:r>
      <w:r>
        <w:rPr>
          <w:sz w:val="22"/>
          <w:szCs w:val="22"/>
        </w:rPr>
        <w:t>,</w:t>
      </w:r>
      <w:r w:rsidRPr="004C74F1">
        <w:rPr>
          <w:sz w:val="22"/>
          <w:szCs w:val="22"/>
        </w:rPr>
        <w:t xml:space="preserve">  federal agency-specific requirements</w:t>
      </w:r>
      <w:r>
        <w:rPr>
          <w:sz w:val="22"/>
          <w:szCs w:val="22"/>
        </w:rPr>
        <w:t xml:space="preserve">, or </w:t>
      </w:r>
      <w:r w:rsidRPr="009C0BFE">
        <w:rPr>
          <w:sz w:val="22"/>
          <w:szCs w:val="22"/>
        </w:rPr>
        <w:t>institutional requirements</w:t>
      </w:r>
      <w:r>
        <w:rPr>
          <w:sz w:val="22"/>
          <w:szCs w:val="22"/>
        </w:rPr>
        <w:t>, i.e., matters from which there is no flexibility for the Relying Institution to deviate.</w:t>
      </w:r>
    </w:p>
    <w:p w14:paraId="5C0301B4" w14:textId="77777777" w:rsidR="00731B94" w:rsidRPr="004C74F1" w:rsidRDefault="00731B94" w:rsidP="007B1C53">
      <w:pPr>
        <w:pStyle w:val="ListParagraph"/>
        <w:spacing w:beforeLines="388" w:before="931" w:line="360" w:lineRule="auto"/>
        <w:rPr>
          <w:sz w:val="22"/>
          <w:szCs w:val="22"/>
        </w:rPr>
      </w:pPr>
    </w:p>
    <w:p w14:paraId="7A65370B" w14:textId="77777777" w:rsidR="00731B94" w:rsidRPr="007B1C53" w:rsidRDefault="00731B94" w:rsidP="007B1C53">
      <w:pPr>
        <w:pStyle w:val="Heading2"/>
      </w:pPr>
      <w:r w:rsidRPr="007B1C53">
        <w:t>Changes to Relying Institution Responsibilities (Section 6)</w:t>
      </w:r>
    </w:p>
    <w:p w14:paraId="17FDAD57" w14:textId="77777777" w:rsidR="00731B94" w:rsidRPr="00CB5E5F" w:rsidRDefault="00731B94" w:rsidP="007B1C53">
      <w:pPr>
        <w:spacing w:line="360" w:lineRule="auto"/>
        <w:rPr>
          <w:b/>
          <w:bCs/>
          <w:i/>
          <w:iCs/>
          <w:sz w:val="22"/>
          <w:szCs w:val="22"/>
        </w:rPr>
      </w:pPr>
    </w:p>
    <w:p w14:paraId="79EF9E52" w14:textId="77777777" w:rsidR="00731B94" w:rsidRPr="00D43F19" w:rsidRDefault="00731B94" w:rsidP="007B1C53">
      <w:pPr>
        <w:pStyle w:val="ListParagraph"/>
        <w:numPr>
          <w:ilvl w:val="0"/>
          <w:numId w:val="33"/>
        </w:numPr>
        <w:spacing w:line="360" w:lineRule="auto"/>
        <w:rPr>
          <w:sz w:val="22"/>
          <w:szCs w:val="22"/>
        </w:rPr>
      </w:pPr>
      <w:r w:rsidRPr="007B1C53">
        <w:rPr>
          <w:rStyle w:val="Heading3Char"/>
        </w:rPr>
        <w:t>Relying Institutions Responsible for Identifying and Communicating Both Local Considerations and Other Considerations (Section 6.6).</w:t>
      </w:r>
      <w:r>
        <w:rPr>
          <w:sz w:val="22"/>
          <w:szCs w:val="22"/>
        </w:rPr>
        <w:t xml:space="preserve"> Version 3.0 continues Relying Institutions’ responsibility to communicate local factors to the Reviewing IRB but newly addresses responsibility for certain federal factors as well. Under Version 3.0, </w:t>
      </w:r>
      <w:r w:rsidRPr="008B39C7">
        <w:rPr>
          <w:rFonts w:eastAsia="Times New Roman"/>
          <w:bCs/>
          <w:color w:val="000000"/>
          <w:sz w:val="22"/>
          <w:szCs w:val="22"/>
        </w:rPr>
        <w:t xml:space="preserve">Relying Institutions </w:t>
      </w:r>
      <w:r>
        <w:rPr>
          <w:rFonts w:eastAsia="Times New Roman"/>
          <w:bCs/>
          <w:color w:val="000000"/>
          <w:sz w:val="22"/>
          <w:szCs w:val="22"/>
        </w:rPr>
        <w:t>must</w:t>
      </w:r>
      <w:r w:rsidRPr="008B39C7">
        <w:rPr>
          <w:rFonts w:eastAsia="Times New Roman"/>
          <w:bCs/>
          <w:color w:val="000000"/>
          <w:sz w:val="22"/>
          <w:szCs w:val="22"/>
        </w:rPr>
        <w:t xml:space="preserve"> identify and communicat</w:t>
      </w:r>
      <w:r>
        <w:rPr>
          <w:rFonts w:eastAsia="Times New Roman"/>
          <w:bCs/>
          <w:color w:val="000000"/>
          <w:sz w:val="22"/>
          <w:szCs w:val="22"/>
        </w:rPr>
        <w:t>e</w:t>
      </w:r>
      <w:r w:rsidRPr="008B39C7">
        <w:rPr>
          <w:rFonts w:eastAsia="Times New Roman"/>
          <w:bCs/>
          <w:color w:val="000000"/>
          <w:sz w:val="22"/>
          <w:szCs w:val="22"/>
        </w:rPr>
        <w:t xml:space="preserve"> to the Reviewing IRB</w:t>
      </w:r>
      <w:r>
        <w:rPr>
          <w:rFonts w:eastAsia="Times New Roman"/>
          <w:bCs/>
          <w:color w:val="000000"/>
          <w:sz w:val="22"/>
          <w:szCs w:val="22"/>
        </w:rPr>
        <w:t>/Reviewing IRB Institution both</w:t>
      </w:r>
      <w:r w:rsidRPr="008B39C7">
        <w:rPr>
          <w:rFonts w:eastAsia="Times New Roman"/>
          <w:bCs/>
          <w:color w:val="000000"/>
          <w:sz w:val="22"/>
          <w:szCs w:val="22"/>
        </w:rPr>
        <w:t>:</w:t>
      </w:r>
    </w:p>
    <w:p w14:paraId="7899A712" w14:textId="77777777" w:rsidR="00731B94" w:rsidRPr="008B39C7" w:rsidRDefault="00731B94" w:rsidP="007B1C53">
      <w:pPr>
        <w:pStyle w:val="ListParagraph"/>
        <w:spacing w:line="360" w:lineRule="auto"/>
        <w:rPr>
          <w:sz w:val="22"/>
          <w:szCs w:val="22"/>
        </w:rPr>
      </w:pPr>
      <w:r w:rsidRPr="008B39C7">
        <w:rPr>
          <w:rFonts w:eastAsia="Times New Roman"/>
          <w:bCs/>
          <w:color w:val="000000"/>
          <w:sz w:val="22"/>
          <w:szCs w:val="22"/>
        </w:rPr>
        <w:t xml:space="preserve"> </w:t>
      </w:r>
    </w:p>
    <w:p w14:paraId="39AB6456" w14:textId="77777777" w:rsidR="00731B94" w:rsidRPr="00D43F19" w:rsidRDefault="00731B94" w:rsidP="007B1C53">
      <w:pPr>
        <w:pStyle w:val="ListParagraph"/>
        <w:numPr>
          <w:ilvl w:val="1"/>
          <w:numId w:val="33"/>
        </w:numPr>
        <w:spacing w:line="360" w:lineRule="auto"/>
        <w:rPr>
          <w:sz w:val="22"/>
          <w:szCs w:val="22"/>
        </w:rPr>
      </w:pPr>
      <w:r w:rsidRPr="00A44AC3">
        <w:rPr>
          <w:rStyle w:val="Heading4Char"/>
          <w:b w:val="0"/>
          <w:bCs w:val="0"/>
        </w:rPr>
        <w:t>Local Considerations:</w:t>
      </w:r>
      <w:r>
        <w:rPr>
          <w:rFonts w:eastAsia="Times New Roman"/>
          <w:bCs/>
          <w:color w:val="000000"/>
          <w:sz w:val="22"/>
          <w:szCs w:val="22"/>
        </w:rPr>
        <w:t xml:space="preserve"> </w:t>
      </w:r>
      <w:r w:rsidRPr="00D43F19">
        <w:rPr>
          <w:rFonts w:eastAsia="Times New Roman"/>
          <w:bCs/>
          <w:color w:val="000000"/>
          <w:sz w:val="22"/>
          <w:szCs w:val="22"/>
        </w:rPr>
        <w:t>applicable requirements of state or local laws and regulations, institutional policies, local standards, and other local factors</w:t>
      </w:r>
      <w:r>
        <w:rPr>
          <w:rFonts w:eastAsia="Times New Roman"/>
          <w:bCs/>
          <w:color w:val="000000"/>
          <w:sz w:val="22"/>
          <w:szCs w:val="22"/>
        </w:rPr>
        <w:t>; and</w:t>
      </w:r>
    </w:p>
    <w:p w14:paraId="7F350863" w14:textId="77777777" w:rsidR="00731B94" w:rsidRPr="00D43F19" w:rsidRDefault="00731B94" w:rsidP="007B1C53">
      <w:pPr>
        <w:pStyle w:val="ListParagraph"/>
        <w:spacing w:line="360" w:lineRule="auto"/>
        <w:ind w:left="1440"/>
        <w:rPr>
          <w:sz w:val="22"/>
          <w:szCs w:val="22"/>
        </w:rPr>
      </w:pPr>
    </w:p>
    <w:p w14:paraId="308FB34E" w14:textId="77777777" w:rsidR="00731B94" w:rsidRPr="00B87E6D" w:rsidRDefault="00731B94" w:rsidP="007B1C53">
      <w:pPr>
        <w:pStyle w:val="ListParagraph"/>
        <w:numPr>
          <w:ilvl w:val="1"/>
          <w:numId w:val="33"/>
        </w:numPr>
        <w:spacing w:line="360" w:lineRule="auto"/>
        <w:rPr>
          <w:sz w:val="22"/>
          <w:szCs w:val="22"/>
        </w:rPr>
      </w:pPr>
      <w:r w:rsidRPr="00A44AC3">
        <w:rPr>
          <w:rStyle w:val="Heading4Char"/>
          <w:b w:val="0"/>
          <w:bCs w:val="0"/>
        </w:rPr>
        <w:t>Other Considerations:</w:t>
      </w:r>
      <w:r w:rsidRPr="00D43F19">
        <w:rPr>
          <w:rFonts w:eastAsia="Times New Roman"/>
          <w:bCs/>
          <w:color w:val="000000"/>
          <w:sz w:val="22"/>
          <w:szCs w:val="22"/>
        </w:rPr>
        <w:t xml:space="preserve"> applicable requirements of federal laws and regulations and of federal departments or agencies that are not readily apparent from </w:t>
      </w:r>
      <w:r>
        <w:rPr>
          <w:rFonts w:eastAsia="Times New Roman"/>
          <w:bCs/>
          <w:color w:val="000000"/>
          <w:sz w:val="22"/>
          <w:szCs w:val="22"/>
        </w:rPr>
        <w:t>a</w:t>
      </w:r>
      <w:r w:rsidRPr="00D43F19">
        <w:rPr>
          <w:rFonts w:eastAsia="Times New Roman"/>
          <w:bCs/>
          <w:color w:val="000000"/>
          <w:sz w:val="22"/>
          <w:szCs w:val="22"/>
        </w:rPr>
        <w:t xml:space="preserve"> Research protocol </w:t>
      </w:r>
      <w:r>
        <w:rPr>
          <w:rFonts w:eastAsia="Times New Roman"/>
          <w:bCs/>
          <w:color w:val="000000"/>
          <w:sz w:val="22"/>
          <w:szCs w:val="22"/>
        </w:rPr>
        <w:t xml:space="preserve">or from other documents submitted to the IRB </w:t>
      </w:r>
      <w:r w:rsidRPr="00D43F19">
        <w:rPr>
          <w:rFonts w:eastAsia="Times New Roman"/>
          <w:bCs/>
          <w:color w:val="000000"/>
          <w:sz w:val="22"/>
          <w:szCs w:val="22"/>
        </w:rPr>
        <w:t>or that are specific to a Relying Institution</w:t>
      </w:r>
      <w:r>
        <w:rPr>
          <w:rFonts w:eastAsia="Times New Roman"/>
          <w:bCs/>
          <w:color w:val="000000"/>
          <w:sz w:val="22"/>
          <w:szCs w:val="22"/>
        </w:rPr>
        <w:t xml:space="preserve"> (e.g., a federal records confidentiality requirement that applies only to a Relying Institution contributing records to the Research where the submission does not indicate that protected records are contemplated)</w:t>
      </w:r>
      <w:r w:rsidRPr="00D43F19">
        <w:rPr>
          <w:rFonts w:eastAsia="Times New Roman"/>
          <w:bCs/>
          <w:color w:val="000000"/>
          <w:sz w:val="22"/>
          <w:szCs w:val="22"/>
        </w:rPr>
        <w:t>.</w:t>
      </w:r>
    </w:p>
    <w:p w14:paraId="13DE7C33" w14:textId="77777777" w:rsidR="00731B94" w:rsidRPr="00B87E6D" w:rsidRDefault="00731B94" w:rsidP="007B1C53">
      <w:pPr>
        <w:pStyle w:val="ListParagraph"/>
        <w:spacing w:line="360" w:lineRule="auto"/>
        <w:rPr>
          <w:sz w:val="22"/>
          <w:szCs w:val="22"/>
        </w:rPr>
      </w:pPr>
    </w:p>
    <w:p w14:paraId="594F613B" w14:textId="77777777" w:rsidR="00731B94" w:rsidRPr="00B87E6D" w:rsidRDefault="00731B94" w:rsidP="007B1C53">
      <w:pPr>
        <w:pStyle w:val="ListParagraph"/>
        <w:spacing w:line="360" w:lineRule="auto"/>
        <w:ind w:left="1440"/>
        <w:rPr>
          <w:sz w:val="22"/>
          <w:szCs w:val="22"/>
        </w:rPr>
      </w:pPr>
      <w:r w:rsidRPr="00B87E6D">
        <w:rPr>
          <w:sz w:val="22"/>
          <w:szCs w:val="22"/>
        </w:rPr>
        <w:t xml:space="preserve">Reviewing IRBs are </w:t>
      </w:r>
      <w:r>
        <w:rPr>
          <w:sz w:val="22"/>
          <w:szCs w:val="22"/>
        </w:rPr>
        <w:t xml:space="preserve">expected to </w:t>
      </w:r>
      <w:r w:rsidRPr="00B87E6D">
        <w:rPr>
          <w:sz w:val="22"/>
          <w:szCs w:val="22"/>
        </w:rPr>
        <w:t>identify readily apparent requirements of federal laws and regulations and federal departments or agencies</w:t>
      </w:r>
      <w:r w:rsidRPr="00B87E6D">
        <w:rPr>
          <w:rFonts w:eastAsia="Times New Roman"/>
          <w:bCs/>
          <w:color w:val="000000"/>
          <w:sz w:val="22"/>
          <w:szCs w:val="22"/>
        </w:rPr>
        <w:t xml:space="preserve"> (e.g., federal requirements for confidentiality of educational records in a public-school-based protocol contemplating review of student health and disciplinary files).</w:t>
      </w:r>
    </w:p>
    <w:p w14:paraId="5551F0D2" w14:textId="77777777" w:rsidR="00731B94" w:rsidRPr="008B39C7" w:rsidRDefault="00731B94" w:rsidP="007B1C53">
      <w:pPr>
        <w:pStyle w:val="ListParagraph"/>
        <w:spacing w:line="360" w:lineRule="auto"/>
        <w:ind w:left="1440"/>
        <w:rPr>
          <w:sz w:val="22"/>
          <w:szCs w:val="22"/>
        </w:rPr>
      </w:pPr>
    </w:p>
    <w:p w14:paraId="439080B4" w14:textId="77777777" w:rsidR="00731B94" w:rsidRDefault="00731B94" w:rsidP="007B1C53">
      <w:pPr>
        <w:pStyle w:val="ListParagraph"/>
        <w:numPr>
          <w:ilvl w:val="0"/>
          <w:numId w:val="33"/>
        </w:numPr>
        <w:spacing w:line="360" w:lineRule="auto"/>
        <w:rPr>
          <w:sz w:val="22"/>
          <w:szCs w:val="22"/>
        </w:rPr>
      </w:pPr>
      <w:r w:rsidRPr="007B1C53">
        <w:rPr>
          <w:rStyle w:val="Heading3Char"/>
        </w:rPr>
        <w:t>Relying Institutions Responsible for Reports to Funding Agencies, Sponsors, and Other Authorities (Section 6.16 and the related Section 5.13.3).</w:t>
      </w:r>
      <w:r w:rsidRPr="004C74F1">
        <w:rPr>
          <w:sz w:val="22"/>
          <w:szCs w:val="22"/>
        </w:rPr>
        <w:t xml:space="preserve"> Reviewing IRBs will generally continue to make any required reports of unanticipated problems, serious or continuing noncompliance, and </w:t>
      </w:r>
      <w:r w:rsidRPr="004C74F1">
        <w:rPr>
          <w:sz w:val="22"/>
          <w:szCs w:val="22"/>
        </w:rPr>
        <w:lastRenderedPageBreak/>
        <w:t>suspensions or terminations of IRB approval to federal human subjects research regulatory agencies (e.g., OHRP, FDA).  However, any and all other reports or notifications of such events that may be required to a funding agency, sponsor, or other authority, will be the Relying Institution’s sole responsibility.</w:t>
      </w:r>
    </w:p>
    <w:p w14:paraId="19A6601F" w14:textId="77777777" w:rsidR="00731B94" w:rsidRPr="00BD161C" w:rsidRDefault="00731B94" w:rsidP="007B1C53">
      <w:pPr>
        <w:spacing w:line="360" w:lineRule="auto"/>
        <w:rPr>
          <w:sz w:val="22"/>
          <w:szCs w:val="22"/>
        </w:rPr>
      </w:pPr>
    </w:p>
    <w:p w14:paraId="7C3D4BFA" w14:textId="77777777" w:rsidR="00943EF7" w:rsidRDefault="00943EF7" w:rsidP="007B1C53">
      <w:pPr>
        <w:spacing w:line="360" w:lineRule="auto"/>
        <w:rPr>
          <w:b/>
          <w:bCs/>
          <w:i/>
          <w:iCs/>
          <w:sz w:val="22"/>
          <w:szCs w:val="22"/>
        </w:rPr>
      </w:pPr>
    </w:p>
    <w:p w14:paraId="3B6397BD" w14:textId="77777777" w:rsidR="00943EF7" w:rsidRDefault="00943EF7" w:rsidP="007B1C53">
      <w:pPr>
        <w:spacing w:line="360" w:lineRule="auto"/>
        <w:rPr>
          <w:b/>
          <w:bCs/>
          <w:i/>
          <w:iCs/>
          <w:sz w:val="22"/>
          <w:szCs w:val="22"/>
        </w:rPr>
      </w:pPr>
    </w:p>
    <w:p w14:paraId="646980C4" w14:textId="77777777" w:rsidR="00943EF7" w:rsidRDefault="00943EF7" w:rsidP="007B1C53">
      <w:pPr>
        <w:spacing w:line="360" w:lineRule="auto"/>
        <w:rPr>
          <w:b/>
          <w:bCs/>
          <w:i/>
          <w:iCs/>
          <w:sz w:val="22"/>
          <w:szCs w:val="22"/>
        </w:rPr>
      </w:pPr>
    </w:p>
    <w:p w14:paraId="1EC239DD" w14:textId="76C0FAFC" w:rsidR="00731B94" w:rsidRPr="007B1C53" w:rsidRDefault="00731B94" w:rsidP="007B1C53">
      <w:pPr>
        <w:pStyle w:val="Heading2"/>
      </w:pPr>
      <w:r w:rsidRPr="007B1C53">
        <w:t>Changes to Other Provisions (Sections 7 and 8)</w:t>
      </w:r>
    </w:p>
    <w:p w14:paraId="1C329A65" w14:textId="77777777" w:rsidR="00731B94" w:rsidRPr="00CB5E5F" w:rsidRDefault="00731B94" w:rsidP="007B1C53">
      <w:pPr>
        <w:spacing w:line="360" w:lineRule="auto"/>
        <w:rPr>
          <w:b/>
          <w:bCs/>
          <w:i/>
          <w:iCs/>
          <w:sz w:val="22"/>
          <w:szCs w:val="22"/>
        </w:rPr>
      </w:pPr>
    </w:p>
    <w:p w14:paraId="5C59D6A0" w14:textId="77777777" w:rsidR="00731B94" w:rsidRPr="004C74F1" w:rsidRDefault="00731B94" w:rsidP="007B1C53">
      <w:pPr>
        <w:pStyle w:val="ListParagraph"/>
        <w:numPr>
          <w:ilvl w:val="0"/>
          <w:numId w:val="34"/>
        </w:numPr>
        <w:spacing w:line="360" w:lineRule="auto"/>
        <w:rPr>
          <w:b/>
          <w:bCs/>
          <w:sz w:val="22"/>
          <w:szCs w:val="22"/>
        </w:rPr>
      </w:pPr>
      <w:r w:rsidRPr="007B1C53">
        <w:rPr>
          <w:rStyle w:val="Heading3Char"/>
        </w:rPr>
        <w:t>Grace Period for Termination of Participation for Loss of Assurance or IRB Registration (Section 7.2.1.3).</w:t>
      </w:r>
      <w:r w:rsidRPr="004C74F1">
        <w:rPr>
          <w:b/>
          <w:bCs/>
          <w:sz w:val="22"/>
          <w:szCs w:val="22"/>
        </w:rPr>
        <w:t xml:space="preserve"> </w:t>
      </w:r>
      <w:r w:rsidRPr="004C74F1">
        <w:rPr>
          <w:sz w:val="22"/>
          <w:szCs w:val="22"/>
        </w:rPr>
        <w:t xml:space="preserve">A Participating Institution whose Assurance is suspended, restricted, terminated, or expires, or if serving as a Reviewing IRB/Reviewing IRB Institution, whose IRB registration is lost or lapses, has </w:t>
      </w:r>
      <w:r>
        <w:rPr>
          <w:sz w:val="22"/>
          <w:szCs w:val="22"/>
        </w:rPr>
        <w:t>6</w:t>
      </w:r>
      <w:r w:rsidRPr="004C74F1">
        <w:rPr>
          <w:sz w:val="22"/>
          <w:szCs w:val="22"/>
        </w:rPr>
        <w:t xml:space="preserve">0 business days (or up to </w:t>
      </w:r>
      <w:r>
        <w:rPr>
          <w:sz w:val="22"/>
          <w:szCs w:val="22"/>
        </w:rPr>
        <w:t>9</w:t>
      </w:r>
      <w:r w:rsidRPr="004C74F1">
        <w:rPr>
          <w:sz w:val="22"/>
          <w:szCs w:val="22"/>
        </w:rPr>
        <w:t xml:space="preserve">0 business days if agreed by other affected institutions) to fully reinstate its Assurance/IRB registration before its participation in the </w:t>
      </w:r>
      <w:r>
        <w:rPr>
          <w:sz w:val="22"/>
          <w:szCs w:val="22"/>
        </w:rPr>
        <w:t>A</w:t>
      </w:r>
      <w:r w:rsidRPr="004C74F1">
        <w:rPr>
          <w:sz w:val="22"/>
          <w:szCs w:val="22"/>
        </w:rPr>
        <w:t xml:space="preserve">greement is terminated. </w:t>
      </w:r>
      <w:r>
        <w:rPr>
          <w:sz w:val="22"/>
          <w:szCs w:val="22"/>
        </w:rPr>
        <w:t>The Participating Institution may not participate in new studies/activities during this period.</w:t>
      </w:r>
    </w:p>
    <w:p w14:paraId="7D8BB254" w14:textId="77777777" w:rsidR="00731B94" w:rsidRPr="004C74F1" w:rsidRDefault="00731B94" w:rsidP="007B1C53">
      <w:pPr>
        <w:pStyle w:val="ListParagraph"/>
        <w:spacing w:beforeLines="388" w:before="931" w:line="360" w:lineRule="auto"/>
        <w:rPr>
          <w:b/>
          <w:bCs/>
          <w:sz w:val="22"/>
          <w:szCs w:val="22"/>
        </w:rPr>
      </w:pPr>
    </w:p>
    <w:p w14:paraId="73454A88" w14:textId="77777777" w:rsidR="00731B94" w:rsidRPr="004C74F1" w:rsidRDefault="00731B94" w:rsidP="007B1C53">
      <w:pPr>
        <w:pStyle w:val="ListParagraph"/>
        <w:numPr>
          <w:ilvl w:val="0"/>
          <w:numId w:val="34"/>
        </w:numPr>
        <w:spacing w:beforeLines="388" w:before="931" w:line="360" w:lineRule="auto"/>
        <w:rPr>
          <w:b/>
          <w:bCs/>
          <w:sz w:val="22"/>
          <w:szCs w:val="22"/>
        </w:rPr>
      </w:pPr>
      <w:r w:rsidRPr="007B1C53">
        <w:rPr>
          <w:rStyle w:val="Heading3Char"/>
        </w:rPr>
        <w:t>Provision for Electronic Joinder Agreements (Section 8.1).</w:t>
      </w:r>
      <w:r w:rsidRPr="004C74F1">
        <w:rPr>
          <w:b/>
          <w:bCs/>
          <w:sz w:val="22"/>
          <w:szCs w:val="22"/>
        </w:rPr>
        <w:t xml:space="preserve"> </w:t>
      </w:r>
      <w:r w:rsidRPr="004C74F1">
        <w:rPr>
          <w:sz w:val="22"/>
          <w:szCs w:val="22"/>
        </w:rPr>
        <w:t xml:space="preserve">Joinder Agreements for Version 3.0 of the </w:t>
      </w:r>
      <w:r>
        <w:rPr>
          <w:sz w:val="22"/>
          <w:szCs w:val="22"/>
        </w:rPr>
        <w:t>A</w:t>
      </w:r>
      <w:r w:rsidRPr="004C74F1">
        <w:rPr>
          <w:sz w:val="22"/>
          <w:szCs w:val="22"/>
        </w:rPr>
        <w:t>greement will be electronic and will be executed using electronic or digital signatures.</w:t>
      </w:r>
    </w:p>
    <w:p w14:paraId="16521F0B" w14:textId="77777777" w:rsidR="005A4CCD" w:rsidRPr="004C74F1" w:rsidRDefault="005A4CCD" w:rsidP="007B1C53">
      <w:pPr>
        <w:pStyle w:val="ListParagraph"/>
        <w:spacing w:beforeLines="388" w:before="931" w:line="360" w:lineRule="auto"/>
        <w:rPr>
          <w:b/>
          <w:bCs/>
          <w:sz w:val="22"/>
          <w:szCs w:val="22"/>
        </w:rPr>
      </w:pPr>
    </w:p>
    <w:sectPr w:rsidR="005A4CCD" w:rsidRPr="004C74F1" w:rsidSect="004C171B">
      <w:footerReference w:type="even" r:id="rId9"/>
      <w:footerReference w:type="first" r:id="rId10"/>
      <w:pgSz w:w="12240" w:h="15840" w:code="1"/>
      <w:pgMar w:top="1440" w:right="1152" w:bottom="1152" w:left="115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00B022" w14:textId="77777777" w:rsidR="00AA2AE9" w:rsidRDefault="00AA2AE9" w:rsidP="006C661D">
      <w:r>
        <w:separator/>
      </w:r>
    </w:p>
  </w:endnote>
  <w:endnote w:type="continuationSeparator" w:id="0">
    <w:p w14:paraId="50BF0155" w14:textId="77777777" w:rsidR="00AA2AE9" w:rsidRDefault="00AA2AE9" w:rsidP="006C6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7B416" w14:textId="14247D38" w:rsidR="005404C3" w:rsidRPr="00C82C05" w:rsidRDefault="00C82C05" w:rsidP="00C82C05">
    <w:pPr>
      <w:pStyle w:val="DocID"/>
      <w:framePr w:wrap="notBeside"/>
    </w:pPr>
    <w:fldSimple w:instr=" DOCPROPERTY DOCXDOCID DMS=IManage Format=&lt;&lt;LIB&gt;&gt;:&lt;&lt;NUM&gt;&gt;v&lt;&lt;VER&gt;&gt; \* MERGEFORMAT ">
      <w:r w:rsidRPr="00C82C05">
        <w:t>FIRM:66867896v1</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63280B" w14:textId="79A1B24F" w:rsidR="007715AB" w:rsidRDefault="007715AB" w:rsidP="00943EF7">
    <w:pPr>
      <w:pStyle w:val="Footer"/>
      <w:spacing w:before="380" w:line="380" w:lineRule="exact"/>
      <w:jc w:val="left"/>
      <w:rPr>
        <w:sz w:val="22"/>
        <w:szCs w:val="22"/>
      </w:rPr>
    </w:pPr>
    <w:r w:rsidRPr="007715AB">
      <w:rPr>
        <w:sz w:val="22"/>
        <w:szCs w:val="22"/>
      </w:rPr>
      <w:t>This project has been funded in whole or in part with Federal funds from the National Center for Advancing Translational Sciences, National Institutes of Health, Department of Health and Human Services, under Contract No. 75N950C00008.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00C945" w14:textId="77777777" w:rsidR="00AA2AE9" w:rsidRDefault="00AA2AE9" w:rsidP="006C661D">
      <w:r>
        <w:separator/>
      </w:r>
    </w:p>
  </w:footnote>
  <w:footnote w:type="continuationSeparator" w:id="0">
    <w:p w14:paraId="0B731542" w14:textId="77777777" w:rsidR="00AA2AE9" w:rsidRDefault="00AA2AE9" w:rsidP="006C66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FC65B4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7E267B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7B41E0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FC228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1D84AF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9645A6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412CD7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F9EDB3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48C38C0"/>
    <w:lvl w:ilvl="0">
      <w:start w:val="1"/>
      <w:numFmt w:val="decimal"/>
      <w:pStyle w:val="ListNumber"/>
      <w:lvlText w:val="%1."/>
      <w:lvlJc w:val="left"/>
      <w:pPr>
        <w:tabs>
          <w:tab w:val="num" w:pos="1800"/>
        </w:tabs>
        <w:ind w:left="1800" w:hanging="360"/>
      </w:pPr>
      <w:rPr>
        <w:rFonts w:hint="default"/>
      </w:rPr>
    </w:lvl>
  </w:abstractNum>
  <w:abstractNum w:abstractNumId="9" w15:restartNumberingAfterBreak="0">
    <w:nsid w:val="FFFFFF89"/>
    <w:multiLevelType w:val="singleLevel"/>
    <w:tmpl w:val="FE941D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990A48"/>
    <w:multiLevelType w:val="multilevel"/>
    <w:tmpl w:val="C1241D70"/>
    <w:styleLink w:val="NoNumberHeadingOne"/>
    <w:lvl w:ilvl="0">
      <w:start w:val="1"/>
      <w:numFmt w:val="none"/>
      <w:suff w:val="nothing"/>
      <w:lvlText w:val=""/>
      <w:lvlJc w:val="left"/>
      <w:pPr>
        <w:ind w:left="0" w:firstLine="0"/>
      </w:pPr>
      <w:rPr>
        <w:rFonts w:hint="default"/>
        <w:b/>
        <w:i w:val="0"/>
        <w:caps/>
        <w:u w:val="none"/>
      </w:rPr>
    </w:lvl>
    <w:lvl w:ilvl="1">
      <w:start w:val="1"/>
      <w:numFmt w:val="upperLetter"/>
      <w:lvlText w:val="%2."/>
      <w:lvlJc w:val="left"/>
      <w:pPr>
        <w:tabs>
          <w:tab w:val="num" w:pos="720"/>
        </w:tabs>
        <w:ind w:left="720" w:hanging="720"/>
      </w:pPr>
      <w:rPr>
        <w:rFonts w:hint="default"/>
        <w:b w:val="0"/>
        <w:i w:val="0"/>
        <w:u w:val="none"/>
      </w:rPr>
    </w:lvl>
    <w:lvl w:ilvl="2">
      <w:start w:val="1"/>
      <w:numFmt w:val="decimal"/>
      <w:lvlText w:val="%3."/>
      <w:lvlJc w:val="left"/>
      <w:pPr>
        <w:tabs>
          <w:tab w:val="num" w:pos="1440"/>
        </w:tabs>
        <w:ind w:left="1440" w:hanging="720"/>
      </w:pPr>
      <w:rPr>
        <w:rFonts w:hint="default"/>
        <w:u w:val="none"/>
      </w:rPr>
    </w:lvl>
    <w:lvl w:ilvl="3">
      <w:start w:val="1"/>
      <w:numFmt w:val="lowerLetter"/>
      <w:lvlText w:val="(%4)"/>
      <w:lvlJc w:val="left"/>
      <w:pPr>
        <w:tabs>
          <w:tab w:val="num" w:pos="2160"/>
        </w:tabs>
        <w:ind w:left="2160" w:hanging="720"/>
      </w:pPr>
      <w:rPr>
        <w:rFonts w:hint="default"/>
      </w:rPr>
    </w:lvl>
    <w:lvl w:ilvl="4">
      <w:start w:val="1"/>
      <w:numFmt w:val="lowerRoman"/>
      <w:lvlText w:val="(%5)"/>
      <w:lvlJc w:val="left"/>
      <w:pPr>
        <w:tabs>
          <w:tab w:val="num" w:pos="2880"/>
        </w:tabs>
        <w:ind w:left="2880" w:hanging="720"/>
      </w:pPr>
      <w:rPr>
        <w:rFonts w:hint="default"/>
      </w:rPr>
    </w:lvl>
    <w:lvl w:ilvl="5">
      <w:start w:val="1"/>
      <w:numFmt w:val="lowerLetter"/>
      <w:lvlText w:val="(%6)"/>
      <w:lvlJc w:val="left"/>
      <w:pPr>
        <w:tabs>
          <w:tab w:val="num" w:pos="3600"/>
        </w:tabs>
        <w:ind w:left="3600" w:hanging="720"/>
      </w:pPr>
      <w:rPr>
        <w:rFonts w:hint="default"/>
      </w:rPr>
    </w:lvl>
    <w:lvl w:ilvl="6">
      <w:start w:val="1"/>
      <w:numFmt w:val="lowerRoman"/>
      <w:lvlText w:val="(%7)"/>
      <w:lvlJc w:val="left"/>
      <w:pPr>
        <w:tabs>
          <w:tab w:val="num" w:pos="4320"/>
        </w:tabs>
        <w:ind w:left="4320" w:hanging="720"/>
      </w:pPr>
      <w:rPr>
        <w:rFonts w:hint="default"/>
      </w:rPr>
    </w:lvl>
    <w:lvl w:ilvl="7">
      <w:start w:val="1"/>
      <w:numFmt w:val="lowerLetter"/>
      <w:lvlText w:val="(%8)"/>
      <w:lvlJc w:val="left"/>
      <w:pPr>
        <w:tabs>
          <w:tab w:val="num" w:pos="5040"/>
        </w:tabs>
        <w:ind w:left="5040" w:hanging="720"/>
      </w:pPr>
      <w:rPr>
        <w:rFonts w:hint="default"/>
      </w:rPr>
    </w:lvl>
    <w:lvl w:ilvl="8">
      <w:start w:val="1"/>
      <w:numFmt w:val="lowerRoman"/>
      <w:lvlText w:val="(%9)"/>
      <w:lvlJc w:val="left"/>
      <w:pPr>
        <w:tabs>
          <w:tab w:val="num" w:pos="5760"/>
        </w:tabs>
        <w:ind w:left="5760" w:hanging="720"/>
      </w:pPr>
      <w:rPr>
        <w:rFonts w:hint="default"/>
      </w:rPr>
    </w:lvl>
  </w:abstractNum>
  <w:abstractNum w:abstractNumId="11" w15:restartNumberingAfterBreak="0">
    <w:nsid w:val="055A090D"/>
    <w:multiLevelType w:val="multilevel"/>
    <w:tmpl w:val="AF38A7EE"/>
    <w:lvl w:ilvl="0">
      <w:start w:val="1"/>
      <w:numFmt w:val="decimal"/>
      <w:suff w:val="nothing"/>
      <w:lvlText w:val="ARTICLE %1"/>
      <w:lvlJc w:val="left"/>
      <w:pPr>
        <w:ind w:left="0" w:firstLine="0"/>
      </w:pPr>
      <w:rPr>
        <w:rFonts w:hint="default"/>
        <w:u w:val="none"/>
      </w:rPr>
    </w:lvl>
    <w:lvl w:ilvl="1">
      <w:start w:val="1"/>
      <w:numFmt w:val="decimal"/>
      <w:lvlText w:val="%1.%2."/>
      <w:lvlJc w:val="left"/>
      <w:pPr>
        <w:tabs>
          <w:tab w:val="num" w:pos="720"/>
        </w:tabs>
        <w:ind w:left="720" w:hanging="720"/>
      </w:pPr>
      <w:rPr>
        <w:rFonts w:hint="default"/>
        <w:u w:val="none"/>
      </w:rPr>
    </w:lvl>
    <w:lvl w:ilvl="2">
      <w:start w:val="1"/>
      <w:numFmt w:val="decimal"/>
      <w:lvlText w:val="%1.%2.%3."/>
      <w:lvlJc w:val="left"/>
      <w:pPr>
        <w:tabs>
          <w:tab w:val="num" w:pos="1440"/>
        </w:tabs>
        <w:ind w:left="1440" w:hanging="720"/>
      </w:pPr>
      <w:rPr>
        <w:rFonts w:hint="default"/>
        <w:u w:val="none"/>
      </w:rPr>
    </w:lvl>
    <w:lvl w:ilvl="3">
      <w:start w:val="1"/>
      <w:numFmt w:val="upperLetter"/>
      <w:lvlText w:val="%4."/>
      <w:lvlJc w:val="left"/>
      <w:pPr>
        <w:tabs>
          <w:tab w:val="num" w:pos="2160"/>
        </w:tabs>
        <w:ind w:left="2160" w:hanging="720"/>
      </w:pPr>
      <w:rPr>
        <w:rFonts w:hint="default"/>
        <w:u w:val="none"/>
      </w:rPr>
    </w:lvl>
    <w:lvl w:ilvl="4">
      <w:start w:val="1"/>
      <w:numFmt w:val="lowerRoman"/>
      <w:lvlText w:val="(%5)"/>
      <w:lvlJc w:val="left"/>
      <w:pPr>
        <w:tabs>
          <w:tab w:val="num" w:pos="2880"/>
        </w:tabs>
        <w:ind w:left="2880" w:hanging="720"/>
      </w:pPr>
      <w:rPr>
        <w:rFonts w:hint="default"/>
        <w:u w:val="none"/>
      </w:rPr>
    </w:lvl>
    <w:lvl w:ilvl="5">
      <w:start w:val="1"/>
      <w:numFmt w:val="lowerLetter"/>
      <w:lvlText w:val="(%6)"/>
      <w:lvlJc w:val="left"/>
      <w:pPr>
        <w:tabs>
          <w:tab w:val="num" w:pos="3600"/>
        </w:tabs>
        <w:ind w:left="3600" w:hanging="720"/>
      </w:pPr>
      <w:rPr>
        <w:rFonts w:hint="default"/>
        <w:u w:val="none"/>
      </w:rPr>
    </w:lvl>
    <w:lvl w:ilvl="6">
      <w:start w:val="1"/>
      <w:numFmt w:val="lowerRoman"/>
      <w:lvlText w:val="(%7)"/>
      <w:lvlJc w:val="left"/>
      <w:pPr>
        <w:tabs>
          <w:tab w:val="num" w:pos="4320"/>
        </w:tabs>
        <w:ind w:left="4320" w:hanging="720"/>
      </w:pPr>
      <w:rPr>
        <w:rFonts w:hint="default"/>
        <w:u w:val="none"/>
      </w:rPr>
    </w:lvl>
    <w:lvl w:ilvl="7">
      <w:start w:val="1"/>
      <w:numFmt w:val="lowerLetter"/>
      <w:lvlText w:val="(%8)"/>
      <w:lvlJc w:val="left"/>
      <w:pPr>
        <w:tabs>
          <w:tab w:val="num" w:pos="5040"/>
        </w:tabs>
        <w:ind w:left="5040" w:hanging="720"/>
      </w:pPr>
      <w:rPr>
        <w:rFonts w:hint="default"/>
        <w:u w:val="none"/>
      </w:rPr>
    </w:lvl>
    <w:lvl w:ilvl="8">
      <w:start w:val="1"/>
      <w:numFmt w:val="lowerRoman"/>
      <w:lvlText w:val="(%9)"/>
      <w:lvlJc w:val="left"/>
      <w:pPr>
        <w:tabs>
          <w:tab w:val="num" w:pos="5760"/>
        </w:tabs>
        <w:ind w:left="5760" w:hanging="720"/>
      </w:pPr>
      <w:rPr>
        <w:rFonts w:hint="default"/>
        <w:u w:val="none"/>
      </w:rPr>
    </w:lvl>
  </w:abstractNum>
  <w:abstractNum w:abstractNumId="12" w15:restartNumberingAfterBreak="0">
    <w:nsid w:val="05D0280C"/>
    <w:multiLevelType w:val="multilevel"/>
    <w:tmpl w:val="86D039B2"/>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lowerRoman"/>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D4F4879"/>
    <w:multiLevelType w:val="hybridMultilevel"/>
    <w:tmpl w:val="21DA2462"/>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4" w15:restartNumberingAfterBreak="0">
    <w:nsid w:val="120152D8"/>
    <w:multiLevelType w:val="multilevel"/>
    <w:tmpl w:val="CFF69F70"/>
    <w:styleLink w:val="EBGPointI"/>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DEE62DB"/>
    <w:multiLevelType w:val="multilevel"/>
    <w:tmpl w:val="86D039B2"/>
    <w:styleLink w:val="EBGNumberedOutline"/>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lowerRoman"/>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FED0E20"/>
    <w:multiLevelType w:val="multilevel"/>
    <w:tmpl w:val="CAA2293E"/>
    <w:lvl w:ilvl="0">
      <w:start w:val="1"/>
      <w:numFmt w:val="upperRoman"/>
      <w:suff w:val="nothing"/>
      <w:lvlText w:val="Point %1"/>
      <w:lvlJc w:val="left"/>
      <w:pPr>
        <w:ind w:left="0" w:firstLine="0"/>
      </w:pPr>
      <w:rPr>
        <w:rFonts w:hint="default"/>
        <w:b/>
        <w:i w:val="0"/>
        <w:caps/>
        <w:u w:val="none"/>
      </w:rPr>
    </w:lvl>
    <w:lvl w:ilvl="1">
      <w:start w:val="1"/>
      <w:numFmt w:val="upperLetter"/>
      <w:lvlText w:val="%2."/>
      <w:lvlJc w:val="left"/>
      <w:pPr>
        <w:tabs>
          <w:tab w:val="num" w:pos="720"/>
        </w:tabs>
        <w:ind w:left="720" w:hanging="720"/>
      </w:pPr>
      <w:rPr>
        <w:rFonts w:hint="default"/>
        <w:b w:val="0"/>
        <w:i w:val="0"/>
        <w:u w:val="none"/>
      </w:rPr>
    </w:lvl>
    <w:lvl w:ilvl="2">
      <w:start w:val="1"/>
      <w:numFmt w:val="decimal"/>
      <w:lvlText w:val="%3."/>
      <w:lvlJc w:val="left"/>
      <w:pPr>
        <w:tabs>
          <w:tab w:val="num" w:pos="1440"/>
        </w:tabs>
        <w:ind w:left="1440" w:hanging="720"/>
      </w:pPr>
      <w:rPr>
        <w:rFonts w:hint="default"/>
        <w:u w:val="none"/>
      </w:rPr>
    </w:lvl>
    <w:lvl w:ilvl="3">
      <w:start w:val="1"/>
      <w:numFmt w:val="lowerLetter"/>
      <w:lvlText w:val="(%4)"/>
      <w:lvlJc w:val="left"/>
      <w:pPr>
        <w:tabs>
          <w:tab w:val="num" w:pos="2160"/>
        </w:tabs>
        <w:ind w:left="2160" w:hanging="720"/>
      </w:pPr>
      <w:rPr>
        <w:rFonts w:hint="default"/>
      </w:rPr>
    </w:lvl>
    <w:lvl w:ilvl="4">
      <w:start w:val="1"/>
      <w:numFmt w:val="lowerRoman"/>
      <w:lvlText w:val="(%5)"/>
      <w:lvlJc w:val="left"/>
      <w:pPr>
        <w:tabs>
          <w:tab w:val="num" w:pos="2880"/>
        </w:tabs>
        <w:ind w:left="2880" w:hanging="720"/>
      </w:pPr>
      <w:rPr>
        <w:rFonts w:hint="default"/>
      </w:rPr>
    </w:lvl>
    <w:lvl w:ilvl="5">
      <w:start w:val="1"/>
      <w:numFmt w:val="lowerLetter"/>
      <w:lvlText w:val="(%6)"/>
      <w:lvlJc w:val="left"/>
      <w:pPr>
        <w:tabs>
          <w:tab w:val="num" w:pos="3600"/>
        </w:tabs>
        <w:ind w:left="3600" w:hanging="720"/>
      </w:pPr>
      <w:rPr>
        <w:rFonts w:hint="default"/>
      </w:rPr>
    </w:lvl>
    <w:lvl w:ilvl="6">
      <w:start w:val="1"/>
      <w:numFmt w:val="lowerRoman"/>
      <w:lvlText w:val="(%7)"/>
      <w:lvlJc w:val="left"/>
      <w:pPr>
        <w:tabs>
          <w:tab w:val="num" w:pos="4320"/>
        </w:tabs>
        <w:ind w:left="4320" w:hanging="720"/>
      </w:pPr>
      <w:rPr>
        <w:rFonts w:hint="default"/>
      </w:rPr>
    </w:lvl>
    <w:lvl w:ilvl="7">
      <w:start w:val="1"/>
      <w:numFmt w:val="lowerLetter"/>
      <w:lvlText w:val="(%8)"/>
      <w:lvlJc w:val="left"/>
      <w:pPr>
        <w:tabs>
          <w:tab w:val="num" w:pos="5040"/>
        </w:tabs>
        <w:ind w:left="5040" w:hanging="720"/>
      </w:pPr>
      <w:rPr>
        <w:rFonts w:hint="default"/>
      </w:rPr>
    </w:lvl>
    <w:lvl w:ilvl="8">
      <w:start w:val="1"/>
      <w:numFmt w:val="lowerRoman"/>
      <w:lvlText w:val="(%9)"/>
      <w:lvlJc w:val="left"/>
      <w:pPr>
        <w:tabs>
          <w:tab w:val="num" w:pos="5760"/>
        </w:tabs>
        <w:ind w:left="5760" w:hanging="720"/>
      </w:pPr>
      <w:rPr>
        <w:rFonts w:hint="default"/>
      </w:rPr>
    </w:lvl>
  </w:abstractNum>
  <w:abstractNum w:abstractNumId="17" w15:restartNumberingAfterBreak="0">
    <w:nsid w:val="28DD572E"/>
    <w:multiLevelType w:val="hybridMultilevel"/>
    <w:tmpl w:val="B4E66696"/>
    <w:lvl w:ilvl="0" w:tplc="42D2E902">
      <w:start w:val="1"/>
      <w:numFmt w:val="bullet"/>
      <w:pStyle w:val="ListBulletIndented"/>
      <w:lvlText w:val=""/>
      <w:lvlJc w:val="left"/>
      <w:pPr>
        <w:tabs>
          <w:tab w:val="num" w:pos="360"/>
        </w:tabs>
        <w:ind w:left="18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9D344A4"/>
    <w:multiLevelType w:val="multilevel"/>
    <w:tmpl w:val="CAA2293E"/>
    <w:styleLink w:val="EBGPointI-Brief"/>
    <w:lvl w:ilvl="0">
      <w:start w:val="1"/>
      <w:numFmt w:val="upperRoman"/>
      <w:suff w:val="nothing"/>
      <w:lvlText w:val="Point %1"/>
      <w:lvlJc w:val="left"/>
      <w:pPr>
        <w:ind w:left="0" w:firstLine="0"/>
      </w:pPr>
      <w:rPr>
        <w:rFonts w:hint="default"/>
        <w:b/>
        <w:i w:val="0"/>
        <w:caps/>
        <w:u w:val="none"/>
      </w:rPr>
    </w:lvl>
    <w:lvl w:ilvl="1">
      <w:start w:val="1"/>
      <w:numFmt w:val="upperLetter"/>
      <w:lvlText w:val="%2."/>
      <w:lvlJc w:val="left"/>
      <w:pPr>
        <w:tabs>
          <w:tab w:val="num" w:pos="720"/>
        </w:tabs>
        <w:ind w:left="720" w:hanging="720"/>
      </w:pPr>
      <w:rPr>
        <w:rFonts w:hint="default"/>
        <w:b w:val="0"/>
        <w:i w:val="0"/>
        <w:u w:val="none"/>
      </w:rPr>
    </w:lvl>
    <w:lvl w:ilvl="2">
      <w:start w:val="1"/>
      <w:numFmt w:val="decimal"/>
      <w:lvlText w:val="%3."/>
      <w:lvlJc w:val="left"/>
      <w:pPr>
        <w:tabs>
          <w:tab w:val="num" w:pos="1440"/>
        </w:tabs>
        <w:ind w:left="1440" w:hanging="720"/>
      </w:pPr>
      <w:rPr>
        <w:rFonts w:hint="default"/>
        <w:u w:val="none"/>
      </w:rPr>
    </w:lvl>
    <w:lvl w:ilvl="3">
      <w:start w:val="1"/>
      <w:numFmt w:val="lowerLetter"/>
      <w:lvlText w:val="(%4)"/>
      <w:lvlJc w:val="left"/>
      <w:pPr>
        <w:tabs>
          <w:tab w:val="num" w:pos="2160"/>
        </w:tabs>
        <w:ind w:left="2160" w:hanging="720"/>
      </w:pPr>
      <w:rPr>
        <w:rFonts w:hint="default"/>
      </w:rPr>
    </w:lvl>
    <w:lvl w:ilvl="4">
      <w:start w:val="1"/>
      <w:numFmt w:val="lowerRoman"/>
      <w:lvlText w:val="(%5)"/>
      <w:lvlJc w:val="left"/>
      <w:pPr>
        <w:tabs>
          <w:tab w:val="num" w:pos="2880"/>
        </w:tabs>
        <w:ind w:left="2880" w:hanging="720"/>
      </w:pPr>
      <w:rPr>
        <w:rFonts w:hint="default"/>
      </w:rPr>
    </w:lvl>
    <w:lvl w:ilvl="5">
      <w:start w:val="1"/>
      <w:numFmt w:val="lowerLetter"/>
      <w:lvlText w:val="(%6)"/>
      <w:lvlJc w:val="left"/>
      <w:pPr>
        <w:tabs>
          <w:tab w:val="num" w:pos="3600"/>
        </w:tabs>
        <w:ind w:left="3600" w:hanging="720"/>
      </w:pPr>
      <w:rPr>
        <w:rFonts w:hint="default"/>
      </w:rPr>
    </w:lvl>
    <w:lvl w:ilvl="6">
      <w:start w:val="1"/>
      <w:numFmt w:val="lowerRoman"/>
      <w:lvlText w:val="(%7)"/>
      <w:lvlJc w:val="left"/>
      <w:pPr>
        <w:tabs>
          <w:tab w:val="num" w:pos="4320"/>
        </w:tabs>
        <w:ind w:left="4320" w:hanging="720"/>
      </w:pPr>
      <w:rPr>
        <w:rFonts w:hint="default"/>
      </w:rPr>
    </w:lvl>
    <w:lvl w:ilvl="7">
      <w:start w:val="1"/>
      <w:numFmt w:val="lowerLetter"/>
      <w:lvlText w:val="(%8)"/>
      <w:lvlJc w:val="left"/>
      <w:pPr>
        <w:tabs>
          <w:tab w:val="num" w:pos="5040"/>
        </w:tabs>
        <w:ind w:left="5040" w:hanging="720"/>
      </w:pPr>
      <w:rPr>
        <w:rFonts w:hint="default"/>
      </w:rPr>
    </w:lvl>
    <w:lvl w:ilvl="8">
      <w:start w:val="1"/>
      <w:numFmt w:val="lowerRoman"/>
      <w:lvlText w:val="(%9)"/>
      <w:lvlJc w:val="left"/>
      <w:pPr>
        <w:tabs>
          <w:tab w:val="num" w:pos="5760"/>
        </w:tabs>
        <w:ind w:left="5760" w:hanging="720"/>
      </w:pPr>
      <w:rPr>
        <w:rFonts w:hint="default"/>
      </w:rPr>
    </w:lvl>
  </w:abstractNum>
  <w:abstractNum w:abstractNumId="19" w15:restartNumberingAfterBreak="0">
    <w:nsid w:val="3464189D"/>
    <w:multiLevelType w:val="hybridMultilevel"/>
    <w:tmpl w:val="C4022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94299C"/>
    <w:multiLevelType w:val="multilevel"/>
    <w:tmpl w:val="AF38A7EE"/>
    <w:styleLink w:val="EBGThreeLevelNumbering"/>
    <w:lvl w:ilvl="0">
      <w:start w:val="1"/>
      <w:numFmt w:val="decimal"/>
      <w:suff w:val="nothing"/>
      <w:lvlText w:val="ARTICLE %1"/>
      <w:lvlJc w:val="left"/>
      <w:pPr>
        <w:ind w:left="0" w:firstLine="0"/>
      </w:pPr>
      <w:rPr>
        <w:rFonts w:hint="default"/>
        <w:u w:val="none"/>
      </w:rPr>
    </w:lvl>
    <w:lvl w:ilvl="1">
      <w:start w:val="1"/>
      <w:numFmt w:val="decimal"/>
      <w:lvlText w:val="%1.%2."/>
      <w:lvlJc w:val="left"/>
      <w:pPr>
        <w:tabs>
          <w:tab w:val="num" w:pos="720"/>
        </w:tabs>
        <w:ind w:left="720" w:hanging="720"/>
      </w:pPr>
      <w:rPr>
        <w:rFonts w:hint="default"/>
        <w:u w:val="none"/>
      </w:rPr>
    </w:lvl>
    <w:lvl w:ilvl="2">
      <w:start w:val="1"/>
      <w:numFmt w:val="decimal"/>
      <w:lvlText w:val="%1.%2.%3."/>
      <w:lvlJc w:val="left"/>
      <w:pPr>
        <w:tabs>
          <w:tab w:val="num" w:pos="1440"/>
        </w:tabs>
        <w:ind w:left="1440" w:hanging="720"/>
      </w:pPr>
      <w:rPr>
        <w:rFonts w:hint="default"/>
        <w:u w:val="none"/>
      </w:rPr>
    </w:lvl>
    <w:lvl w:ilvl="3">
      <w:start w:val="1"/>
      <w:numFmt w:val="upperLetter"/>
      <w:lvlText w:val="%4."/>
      <w:lvlJc w:val="left"/>
      <w:pPr>
        <w:tabs>
          <w:tab w:val="num" w:pos="2160"/>
        </w:tabs>
        <w:ind w:left="2160" w:hanging="720"/>
      </w:pPr>
      <w:rPr>
        <w:rFonts w:hint="default"/>
        <w:u w:val="none"/>
      </w:rPr>
    </w:lvl>
    <w:lvl w:ilvl="4">
      <w:start w:val="1"/>
      <w:numFmt w:val="lowerRoman"/>
      <w:lvlText w:val="(%5)"/>
      <w:lvlJc w:val="left"/>
      <w:pPr>
        <w:tabs>
          <w:tab w:val="num" w:pos="2880"/>
        </w:tabs>
        <w:ind w:left="2880" w:hanging="720"/>
      </w:pPr>
      <w:rPr>
        <w:rFonts w:hint="default"/>
        <w:u w:val="none"/>
      </w:rPr>
    </w:lvl>
    <w:lvl w:ilvl="5">
      <w:start w:val="1"/>
      <w:numFmt w:val="lowerLetter"/>
      <w:lvlText w:val="(%6)"/>
      <w:lvlJc w:val="left"/>
      <w:pPr>
        <w:tabs>
          <w:tab w:val="num" w:pos="3600"/>
        </w:tabs>
        <w:ind w:left="3600" w:hanging="720"/>
      </w:pPr>
      <w:rPr>
        <w:rFonts w:hint="default"/>
        <w:u w:val="none"/>
      </w:rPr>
    </w:lvl>
    <w:lvl w:ilvl="6">
      <w:start w:val="1"/>
      <w:numFmt w:val="lowerRoman"/>
      <w:lvlText w:val="(%7)"/>
      <w:lvlJc w:val="left"/>
      <w:pPr>
        <w:tabs>
          <w:tab w:val="num" w:pos="4320"/>
        </w:tabs>
        <w:ind w:left="4320" w:hanging="720"/>
      </w:pPr>
      <w:rPr>
        <w:rFonts w:hint="default"/>
        <w:u w:val="none"/>
      </w:rPr>
    </w:lvl>
    <w:lvl w:ilvl="7">
      <w:start w:val="1"/>
      <w:numFmt w:val="lowerLetter"/>
      <w:lvlText w:val="(%8)"/>
      <w:lvlJc w:val="left"/>
      <w:pPr>
        <w:tabs>
          <w:tab w:val="num" w:pos="5040"/>
        </w:tabs>
        <w:ind w:left="5040" w:hanging="720"/>
      </w:pPr>
      <w:rPr>
        <w:rFonts w:hint="default"/>
        <w:u w:val="none"/>
      </w:rPr>
    </w:lvl>
    <w:lvl w:ilvl="8">
      <w:start w:val="1"/>
      <w:numFmt w:val="lowerRoman"/>
      <w:lvlText w:val="(%9)"/>
      <w:lvlJc w:val="left"/>
      <w:pPr>
        <w:tabs>
          <w:tab w:val="num" w:pos="5760"/>
        </w:tabs>
        <w:ind w:left="5760" w:hanging="720"/>
      </w:pPr>
      <w:rPr>
        <w:rFonts w:hint="default"/>
        <w:u w:val="none"/>
      </w:rPr>
    </w:lvl>
  </w:abstractNum>
  <w:abstractNum w:abstractNumId="21" w15:restartNumberingAfterBreak="0">
    <w:nsid w:val="3B1E2ACC"/>
    <w:multiLevelType w:val="multilevel"/>
    <w:tmpl w:val="C7EC535C"/>
    <w:lvl w:ilvl="0">
      <w:start w:val="1"/>
      <w:numFmt w:val="upperRoman"/>
      <w:suff w:val="nothing"/>
      <w:lvlText w:val="Point %1"/>
      <w:lvlJc w:val="left"/>
      <w:pPr>
        <w:ind w:left="0" w:firstLine="0"/>
      </w:pPr>
      <w:rPr>
        <w:rFonts w:hint="default"/>
        <w:b/>
        <w:i w:val="0"/>
        <w:caps/>
        <w:u w:val="none"/>
      </w:rPr>
    </w:lvl>
    <w:lvl w:ilvl="1">
      <w:start w:val="1"/>
      <w:numFmt w:val="upperLetter"/>
      <w:lvlText w:val="%2."/>
      <w:lvlJc w:val="left"/>
      <w:pPr>
        <w:tabs>
          <w:tab w:val="num" w:pos="720"/>
        </w:tabs>
        <w:ind w:left="720" w:hanging="720"/>
      </w:pPr>
      <w:rPr>
        <w:rFonts w:hint="default"/>
        <w:b w:val="0"/>
        <w:i w:val="0"/>
        <w:u w:val="none"/>
      </w:rPr>
    </w:lvl>
    <w:lvl w:ilvl="2">
      <w:start w:val="1"/>
      <w:numFmt w:val="decimal"/>
      <w:lvlText w:val="%3."/>
      <w:lvlJc w:val="left"/>
      <w:pPr>
        <w:tabs>
          <w:tab w:val="num" w:pos="1440"/>
        </w:tabs>
        <w:ind w:left="1440" w:hanging="720"/>
      </w:pPr>
      <w:rPr>
        <w:rFonts w:hint="default"/>
        <w:u w:val="none"/>
      </w:rPr>
    </w:lvl>
    <w:lvl w:ilvl="3">
      <w:start w:val="1"/>
      <w:numFmt w:val="lowerLetter"/>
      <w:lvlText w:val="(%4)"/>
      <w:lvlJc w:val="left"/>
      <w:pPr>
        <w:tabs>
          <w:tab w:val="num" w:pos="2160"/>
        </w:tabs>
        <w:ind w:left="2160" w:hanging="720"/>
      </w:pPr>
      <w:rPr>
        <w:rFonts w:hint="default"/>
      </w:rPr>
    </w:lvl>
    <w:lvl w:ilvl="4">
      <w:start w:val="1"/>
      <w:numFmt w:val="lowerRoman"/>
      <w:lvlText w:val="(%5)"/>
      <w:lvlJc w:val="left"/>
      <w:pPr>
        <w:tabs>
          <w:tab w:val="num" w:pos="2880"/>
        </w:tabs>
        <w:ind w:left="2880" w:hanging="720"/>
      </w:pPr>
      <w:rPr>
        <w:rFonts w:hint="default"/>
      </w:rPr>
    </w:lvl>
    <w:lvl w:ilvl="5">
      <w:start w:val="1"/>
      <w:numFmt w:val="lowerLetter"/>
      <w:lvlText w:val="(%6)"/>
      <w:lvlJc w:val="left"/>
      <w:pPr>
        <w:tabs>
          <w:tab w:val="num" w:pos="3600"/>
        </w:tabs>
        <w:ind w:left="3600" w:hanging="720"/>
      </w:pPr>
      <w:rPr>
        <w:rFonts w:hint="default"/>
      </w:rPr>
    </w:lvl>
    <w:lvl w:ilvl="6">
      <w:start w:val="1"/>
      <w:numFmt w:val="lowerRoman"/>
      <w:lvlText w:val="(%7)"/>
      <w:lvlJc w:val="left"/>
      <w:pPr>
        <w:tabs>
          <w:tab w:val="num" w:pos="4320"/>
        </w:tabs>
        <w:ind w:left="4320" w:hanging="720"/>
      </w:pPr>
      <w:rPr>
        <w:rFonts w:hint="default"/>
      </w:rPr>
    </w:lvl>
    <w:lvl w:ilvl="7">
      <w:start w:val="1"/>
      <w:numFmt w:val="lowerLetter"/>
      <w:lvlText w:val="(%8)"/>
      <w:lvlJc w:val="left"/>
      <w:pPr>
        <w:tabs>
          <w:tab w:val="num" w:pos="5040"/>
        </w:tabs>
        <w:ind w:left="5040" w:hanging="720"/>
      </w:pPr>
      <w:rPr>
        <w:rFonts w:hint="default"/>
      </w:rPr>
    </w:lvl>
    <w:lvl w:ilvl="8">
      <w:start w:val="1"/>
      <w:numFmt w:val="lowerRoman"/>
      <w:lvlText w:val="(%9)"/>
      <w:lvlJc w:val="left"/>
      <w:pPr>
        <w:tabs>
          <w:tab w:val="num" w:pos="5760"/>
        </w:tabs>
        <w:ind w:left="5760" w:hanging="720"/>
      </w:pPr>
      <w:rPr>
        <w:rFonts w:hint="default"/>
      </w:rPr>
    </w:lvl>
  </w:abstractNum>
  <w:abstractNum w:abstractNumId="22" w15:restartNumberingAfterBreak="0">
    <w:nsid w:val="5B98119A"/>
    <w:multiLevelType w:val="hybridMultilevel"/>
    <w:tmpl w:val="1174D8F8"/>
    <w:lvl w:ilvl="0" w:tplc="04090001">
      <w:start w:val="1"/>
      <w:numFmt w:val="bullet"/>
      <w:lvlText w:val=""/>
      <w:lvlJc w:val="left"/>
      <w:pPr>
        <w:ind w:left="720" w:hanging="360"/>
      </w:pPr>
      <w:rPr>
        <w:rFonts w:ascii="Symbol" w:hAnsi="Symbol" w:hint="default"/>
      </w:rPr>
    </w:lvl>
    <w:lvl w:ilvl="1" w:tplc="1BFCEB24">
      <w:start w:val="1"/>
      <w:numFmt w:val="bullet"/>
      <w:pStyle w:val="Heading4"/>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EC5668"/>
    <w:multiLevelType w:val="hybridMultilevel"/>
    <w:tmpl w:val="265AC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4BA7A2D"/>
    <w:multiLevelType w:val="hybridMultilevel"/>
    <w:tmpl w:val="D892DD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A226CDA"/>
    <w:multiLevelType w:val="multilevel"/>
    <w:tmpl w:val="DBCE24B2"/>
    <w:styleLink w:val="EBGTwoLevelNumbering"/>
    <w:lvl w:ilvl="0">
      <w:start w:val="1"/>
      <w:numFmt w:val="upperRoman"/>
      <w:suff w:val="nothing"/>
      <w:lvlText w:val="Article %1"/>
      <w:lvlJc w:val="left"/>
      <w:pPr>
        <w:ind w:left="0" w:firstLine="0"/>
      </w:pPr>
      <w:rPr>
        <w:rFonts w:ascii="Times New Roman" w:hAnsi="Times New Roman" w:hint="default"/>
        <w:b/>
        <w:i w:val="0"/>
        <w:caps/>
        <w:sz w:val="24"/>
        <w:u w:val="none"/>
      </w:rPr>
    </w:lvl>
    <w:lvl w:ilvl="1">
      <w:start w:val="1"/>
      <w:numFmt w:val="decimal"/>
      <w:isLgl/>
      <w:lvlText w:val="%1.%2."/>
      <w:lvlJc w:val="left"/>
      <w:pPr>
        <w:tabs>
          <w:tab w:val="num" w:pos="720"/>
        </w:tabs>
        <w:ind w:left="720" w:hanging="720"/>
      </w:pPr>
      <w:rPr>
        <w:rFonts w:ascii="Times New Roman" w:hAnsi="Times New Roman" w:hint="default"/>
        <w:b w:val="0"/>
        <w:i w:val="0"/>
        <w:sz w:val="24"/>
        <w:u w:val="none"/>
      </w:rPr>
    </w:lvl>
    <w:lvl w:ilvl="2">
      <w:start w:val="1"/>
      <w:numFmt w:val="upperLetter"/>
      <w:lvlText w:val="%3."/>
      <w:lvlJc w:val="left"/>
      <w:pPr>
        <w:tabs>
          <w:tab w:val="num" w:pos="1440"/>
        </w:tabs>
        <w:ind w:left="1440" w:hanging="720"/>
      </w:pPr>
      <w:rPr>
        <w:rFonts w:ascii="Times New Roman" w:hAnsi="Times New Roman" w:hint="default"/>
        <w:b w:val="0"/>
        <w:i w:val="0"/>
        <w:sz w:val="24"/>
      </w:rPr>
    </w:lvl>
    <w:lvl w:ilvl="3">
      <w:start w:val="1"/>
      <w:numFmt w:val="decimal"/>
      <w:lvlText w:val="%4."/>
      <w:lvlJc w:val="left"/>
      <w:pPr>
        <w:tabs>
          <w:tab w:val="num" w:pos="2160"/>
        </w:tabs>
        <w:ind w:left="2160" w:hanging="720"/>
      </w:pPr>
      <w:rPr>
        <w:rFonts w:ascii="Times New Roman" w:hAnsi="Times New Roman" w:hint="default"/>
        <w:b w:val="0"/>
        <w:i w:val="0"/>
        <w:sz w:val="24"/>
        <w:u w:val="none"/>
      </w:rPr>
    </w:lvl>
    <w:lvl w:ilvl="4">
      <w:start w:val="1"/>
      <w:numFmt w:val="lowerLetter"/>
      <w:lvlText w:val="(%5)"/>
      <w:lvlJc w:val="left"/>
      <w:pPr>
        <w:tabs>
          <w:tab w:val="num" w:pos="2880"/>
        </w:tabs>
        <w:ind w:left="2880" w:hanging="720"/>
      </w:pPr>
      <w:rPr>
        <w:rFonts w:hint="default"/>
        <w:u w:val="none"/>
      </w:rPr>
    </w:lvl>
    <w:lvl w:ilvl="5">
      <w:start w:val="1"/>
      <w:numFmt w:val="lowerRoman"/>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lowerLetter"/>
      <w:lvlText w:val="(%9)"/>
      <w:lvlJc w:val="left"/>
      <w:pPr>
        <w:tabs>
          <w:tab w:val="num" w:pos="5760"/>
        </w:tabs>
        <w:ind w:left="5760" w:hanging="720"/>
      </w:pPr>
      <w:rPr>
        <w:rFonts w:hint="default"/>
      </w:rPr>
    </w:lvl>
  </w:abstractNum>
  <w:abstractNum w:abstractNumId="26" w15:restartNumberingAfterBreak="0">
    <w:nsid w:val="6E893F77"/>
    <w:multiLevelType w:val="multilevel"/>
    <w:tmpl w:val="DBCE24B2"/>
    <w:lvl w:ilvl="0">
      <w:start w:val="1"/>
      <w:numFmt w:val="upperRoman"/>
      <w:suff w:val="nothing"/>
      <w:lvlText w:val="Article %1"/>
      <w:lvlJc w:val="left"/>
      <w:pPr>
        <w:ind w:left="0" w:firstLine="0"/>
      </w:pPr>
      <w:rPr>
        <w:rFonts w:ascii="Times New Roman" w:hAnsi="Times New Roman" w:hint="default"/>
        <w:b/>
        <w:i w:val="0"/>
        <w:caps/>
        <w:sz w:val="24"/>
        <w:u w:val="none"/>
      </w:rPr>
    </w:lvl>
    <w:lvl w:ilvl="1">
      <w:start w:val="1"/>
      <w:numFmt w:val="decimal"/>
      <w:isLgl/>
      <w:lvlText w:val="%1.%2."/>
      <w:lvlJc w:val="left"/>
      <w:pPr>
        <w:tabs>
          <w:tab w:val="num" w:pos="720"/>
        </w:tabs>
        <w:ind w:left="720" w:hanging="720"/>
      </w:pPr>
      <w:rPr>
        <w:rFonts w:ascii="Times New Roman" w:hAnsi="Times New Roman" w:hint="default"/>
        <w:b w:val="0"/>
        <w:i w:val="0"/>
        <w:sz w:val="24"/>
        <w:u w:val="none"/>
      </w:rPr>
    </w:lvl>
    <w:lvl w:ilvl="2">
      <w:start w:val="1"/>
      <w:numFmt w:val="upperLetter"/>
      <w:lvlText w:val="%3."/>
      <w:lvlJc w:val="left"/>
      <w:pPr>
        <w:tabs>
          <w:tab w:val="num" w:pos="1440"/>
        </w:tabs>
        <w:ind w:left="1440" w:hanging="720"/>
      </w:pPr>
      <w:rPr>
        <w:rFonts w:ascii="Times New Roman" w:hAnsi="Times New Roman" w:hint="default"/>
        <w:b w:val="0"/>
        <w:i w:val="0"/>
        <w:sz w:val="24"/>
      </w:rPr>
    </w:lvl>
    <w:lvl w:ilvl="3">
      <w:start w:val="1"/>
      <w:numFmt w:val="decimal"/>
      <w:lvlText w:val="%4."/>
      <w:lvlJc w:val="left"/>
      <w:pPr>
        <w:tabs>
          <w:tab w:val="num" w:pos="2160"/>
        </w:tabs>
        <w:ind w:left="2160" w:hanging="720"/>
      </w:pPr>
      <w:rPr>
        <w:rFonts w:ascii="Times New Roman" w:hAnsi="Times New Roman" w:hint="default"/>
        <w:b w:val="0"/>
        <w:i w:val="0"/>
        <w:sz w:val="24"/>
        <w:u w:val="none"/>
      </w:rPr>
    </w:lvl>
    <w:lvl w:ilvl="4">
      <w:start w:val="1"/>
      <w:numFmt w:val="lowerLetter"/>
      <w:lvlText w:val="(%5)"/>
      <w:lvlJc w:val="left"/>
      <w:pPr>
        <w:tabs>
          <w:tab w:val="num" w:pos="2880"/>
        </w:tabs>
        <w:ind w:left="2880" w:hanging="720"/>
      </w:pPr>
      <w:rPr>
        <w:rFonts w:hint="default"/>
        <w:u w:val="none"/>
      </w:rPr>
    </w:lvl>
    <w:lvl w:ilvl="5">
      <w:start w:val="1"/>
      <w:numFmt w:val="lowerRoman"/>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lowerLetter"/>
      <w:lvlText w:val="(%9)"/>
      <w:lvlJc w:val="left"/>
      <w:pPr>
        <w:tabs>
          <w:tab w:val="num" w:pos="5760"/>
        </w:tabs>
        <w:ind w:left="5760" w:hanging="720"/>
      </w:pPr>
      <w:rPr>
        <w:rFonts w:hint="default"/>
      </w:rPr>
    </w:lvl>
  </w:abstractNum>
  <w:abstractNum w:abstractNumId="27" w15:restartNumberingAfterBreak="0">
    <w:nsid w:val="78B20755"/>
    <w:multiLevelType w:val="multilevel"/>
    <w:tmpl w:val="C1241D70"/>
    <w:lvl w:ilvl="0">
      <w:start w:val="1"/>
      <w:numFmt w:val="none"/>
      <w:suff w:val="nothing"/>
      <w:lvlText w:val=""/>
      <w:lvlJc w:val="left"/>
      <w:pPr>
        <w:ind w:left="0" w:firstLine="0"/>
      </w:pPr>
      <w:rPr>
        <w:rFonts w:hint="default"/>
        <w:b/>
        <w:i w:val="0"/>
        <w:caps/>
        <w:u w:val="none"/>
      </w:rPr>
    </w:lvl>
    <w:lvl w:ilvl="1">
      <w:start w:val="1"/>
      <w:numFmt w:val="upperLetter"/>
      <w:lvlText w:val="%2."/>
      <w:lvlJc w:val="left"/>
      <w:pPr>
        <w:tabs>
          <w:tab w:val="num" w:pos="720"/>
        </w:tabs>
        <w:ind w:left="720" w:hanging="720"/>
      </w:pPr>
      <w:rPr>
        <w:rFonts w:hint="default"/>
        <w:b w:val="0"/>
        <w:i w:val="0"/>
        <w:u w:val="none"/>
      </w:rPr>
    </w:lvl>
    <w:lvl w:ilvl="2">
      <w:start w:val="1"/>
      <w:numFmt w:val="decimal"/>
      <w:lvlText w:val="%3."/>
      <w:lvlJc w:val="left"/>
      <w:pPr>
        <w:tabs>
          <w:tab w:val="num" w:pos="1440"/>
        </w:tabs>
        <w:ind w:left="1440" w:hanging="720"/>
      </w:pPr>
      <w:rPr>
        <w:rFonts w:hint="default"/>
        <w:u w:val="none"/>
      </w:rPr>
    </w:lvl>
    <w:lvl w:ilvl="3">
      <w:start w:val="1"/>
      <w:numFmt w:val="lowerLetter"/>
      <w:lvlText w:val="(%4)"/>
      <w:lvlJc w:val="left"/>
      <w:pPr>
        <w:tabs>
          <w:tab w:val="num" w:pos="2160"/>
        </w:tabs>
        <w:ind w:left="2160" w:hanging="720"/>
      </w:pPr>
      <w:rPr>
        <w:rFonts w:hint="default"/>
      </w:rPr>
    </w:lvl>
    <w:lvl w:ilvl="4">
      <w:start w:val="1"/>
      <w:numFmt w:val="lowerRoman"/>
      <w:lvlText w:val="(%5)"/>
      <w:lvlJc w:val="left"/>
      <w:pPr>
        <w:tabs>
          <w:tab w:val="num" w:pos="2880"/>
        </w:tabs>
        <w:ind w:left="2880" w:hanging="720"/>
      </w:pPr>
      <w:rPr>
        <w:rFonts w:hint="default"/>
      </w:rPr>
    </w:lvl>
    <w:lvl w:ilvl="5">
      <w:start w:val="1"/>
      <w:numFmt w:val="lowerLetter"/>
      <w:lvlText w:val="(%6)"/>
      <w:lvlJc w:val="left"/>
      <w:pPr>
        <w:tabs>
          <w:tab w:val="num" w:pos="3600"/>
        </w:tabs>
        <w:ind w:left="3600" w:hanging="720"/>
      </w:pPr>
      <w:rPr>
        <w:rFonts w:hint="default"/>
      </w:rPr>
    </w:lvl>
    <w:lvl w:ilvl="6">
      <w:start w:val="1"/>
      <w:numFmt w:val="lowerRoman"/>
      <w:lvlText w:val="(%7)"/>
      <w:lvlJc w:val="left"/>
      <w:pPr>
        <w:tabs>
          <w:tab w:val="num" w:pos="4320"/>
        </w:tabs>
        <w:ind w:left="4320" w:hanging="720"/>
      </w:pPr>
      <w:rPr>
        <w:rFonts w:hint="default"/>
      </w:rPr>
    </w:lvl>
    <w:lvl w:ilvl="7">
      <w:start w:val="1"/>
      <w:numFmt w:val="lowerLetter"/>
      <w:lvlText w:val="(%8)"/>
      <w:lvlJc w:val="left"/>
      <w:pPr>
        <w:tabs>
          <w:tab w:val="num" w:pos="5040"/>
        </w:tabs>
        <w:ind w:left="5040" w:hanging="720"/>
      </w:pPr>
      <w:rPr>
        <w:rFonts w:hint="default"/>
      </w:rPr>
    </w:lvl>
    <w:lvl w:ilvl="8">
      <w:start w:val="1"/>
      <w:numFmt w:val="lowerRoman"/>
      <w:lvlText w:val="(%9)"/>
      <w:lvlJc w:val="left"/>
      <w:pPr>
        <w:tabs>
          <w:tab w:val="num" w:pos="5760"/>
        </w:tabs>
        <w:ind w:left="5760" w:hanging="720"/>
      </w:pPr>
      <w:rPr>
        <w:rFonts w:hint="default"/>
      </w:rPr>
    </w:lvl>
  </w:abstractNum>
  <w:abstractNum w:abstractNumId="28" w15:restartNumberingAfterBreak="0">
    <w:nsid w:val="7E5F5DE7"/>
    <w:multiLevelType w:val="multilevel"/>
    <w:tmpl w:val="CFF69F7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7EC814D9"/>
    <w:multiLevelType w:val="hybridMultilevel"/>
    <w:tmpl w:val="F6B64276"/>
    <w:lvl w:ilvl="0" w:tplc="294800EC">
      <w:start w:val="1"/>
      <w:numFmt w:val="bullet"/>
      <w:pStyle w:val="Heading3"/>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68608570">
    <w:abstractNumId w:val="27"/>
  </w:num>
  <w:num w:numId="2" w16cid:durableId="2136294550">
    <w:abstractNumId w:val="12"/>
  </w:num>
  <w:num w:numId="3" w16cid:durableId="430974722">
    <w:abstractNumId w:val="26"/>
  </w:num>
  <w:num w:numId="4" w16cid:durableId="223377871">
    <w:abstractNumId w:val="11"/>
  </w:num>
  <w:num w:numId="5" w16cid:durableId="57098007">
    <w:abstractNumId w:val="28"/>
  </w:num>
  <w:num w:numId="6" w16cid:durableId="1511946616">
    <w:abstractNumId w:val="16"/>
  </w:num>
  <w:num w:numId="7" w16cid:durableId="1619797047">
    <w:abstractNumId w:val="17"/>
  </w:num>
  <w:num w:numId="8" w16cid:durableId="899443294">
    <w:abstractNumId w:val="8"/>
  </w:num>
  <w:num w:numId="9" w16cid:durableId="40635315">
    <w:abstractNumId w:val="8"/>
  </w:num>
  <w:num w:numId="10" w16cid:durableId="157425484">
    <w:abstractNumId w:val="21"/>
  </w:num>
  <w:num w:numId="11" w16cid:durableId="833181129">
    <w:abstractNumId w:val="17"/>
    <w:lvlOverride w:ilvl="0">
      <w:startOverride w:val="1"/>
    </w:lvlOverride>
  </w:num>
  <w:num w:numId="12" w16cid:durableId="747070139">
    <w:abstractNumId w:val="9"/>
  </w:num>
  <w:num w:numId="13" w16cid:durableId="2064212158">
    <w:abstractNumId w:val="7"/>
  </w:num>
  <w:num w:numId="14" w16cid:durableId="877277695">
    <w:abstractNumId w:val="6"/>
  </w:num>
  <w:num w:numId="15" w16cid:durableId="1399402404">
    <w:abstractNumId w:val="5"/>
  </w:num>
  <w:num w:numId="16" w16cid:durableId="211428726">
    <w:abstractNumId w:val="4"/>
  </w:num>
  <w:num w:numId="17" w16cid:durableId="181012103">
    <w:abstractNumId w:val="3"/>
  </w:num>
  <w:num w:numId="18" w16cid:durableId="305400874">
    <w:abstractNumId w:val="2"/>
  </w:num>
  <w:num w:numId="19" w16cid:durableId="1471049535">
    <w:abstractNumId w:val="1"/>
  </w:num>
  <w:num w:numId="20" w16cid:durableId="1153138480">
    <w:abstractNumId w:val="0"/>
  </w:num>
  <w:num w:numId="21" w16cid:durableId="1198469462">
    <w:abstractNumId w:val="15"/>
  </w:num>
  <w:num w:numId="22" w16cid:durableId="1267955949">
    <w:abstractNumId w:val="18"/>
  </w:num>
  <w:num w:numId="23" w16cid:durableId="1465536292">
    <w:abstractNumId w:val="14"/>
  </w:num>
  <w:num w:numId="24" w16cid:durableId="991716930">
    <w:abstractNumId w:val="20"/>
  </w:num>
  <w:num w:numId="25" w16cid:durableId="522325179">
    <w:abstractNumId w:val="25"/>
  </w:num>
  <w:num w:numId="26" w16cid:durableId="196048416">
    <w:abstractNumId w:val="17"/>
  </w:num>
  <w:num w:numId="27" w16cid:durableId="675377533">
    <w:abstractNumId w:val="8"/>
  </w:num>
  <w:num w:numId="28" w16cid:durableId="1803451775">
    <w:abstractNumId w:val="10"/>
  </w:num>
  <w:num w:numId="29" w16cid:durableId="1731808422">
    <w:abstractNumId w:val="13"/>
  </w:num>
  <w:num w:numId="30" w16cid:durableId="2062242516">
    <w:abstractNumId w:val="22"/>
  </w:num>
  <w:num w:numId="31" w16cid:durableId="2084176063">
    <w:abstractNumId w:val="19"/>
  </w:num>
  <w:num w:numId="32" w16cid:durableId="378936787">
    <w:abstractNumId w:val="23"/>
  </w:num>
  <w:num w:numId="33" w16cid:durableId="2037072293">
    <w:abstractNumId w:val="24"/>
  </w:num>
  <w:num w:numId="34" w16cid:durableId="2026593104">
    <w:abstractNumId w:val="2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ocumentProtection w:edit="readOnly" w:enforcement="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MS_Work10" w:val="0~FIRM||1~66867896||2~1||3~V3.0_FINAL_DETAILED SUMMARY OF KEY CHANGES FROM V1.0/2.0_Draft of 2.21.25||5~EFOGLER||6~EFOGLER||7~WORDX||8~DOC||10~2/21/2025 12:21:35 AM||11~2/3/2025 7:16:21 PM||13~46778||14~False||17~public||18~EFOGLER||19~EFOGLER||21~True||22~True||23~False||25~090809||26~00002||60~President and Fellows of Harvard College (Harvard University)||61~SMART IRB||74~Emily Fogler||75~Emily Fogler||76~Word Document (*.docx)||77~Document||82~docx||85~2/21/2025 12:21:36 AM||99~1/1/0001 12:00:00 AM||106~C:\Users\efogler\AppData\Roaming\iManage\Work\Recent\President and Fellows of Harvard College (Harvard University) - SMART IRB (090809-00002)\V3.0_FINAL_DETAILED SUMMARY OF KEY CHANGES FROM V1.0_2.0_Dr(66867896.1).docx||107~1/1/0001 12:00:00 AM||109~2/21/2025 12:42:29 PM||113~2/3/2025 7:16:21 PM||114~2/21/2025 12:21:35 AM||124~False||"/>
    <w:docVar w:name="ForteTempFile" w:val="C:\Users\EBardun\AppData\Local\Temp\04edab6d-1bf8-4482-a12d-7be4fa162be3.docx"/>
    <w:docVar w:name="zzmp10LastTrailerInserted" w:val="^`~#mp!@⌝&gt;&gt;#;┚┪7:&lt;~řmQ⌑È6⌗FåVp‟⌓⌛sËÔX‟⌃è!ÃÞ⌐G[îìLƄÐ¹þ@y'⌜ť‿'85u+ℨ+⌒#&lt;rÎBiˋçÎ¢93(⌕‶2‡××xë'X_¸⌟Xõ&amp;M´¿6í‣l²Cy[³„⌅@ t⌄ãl¢⌆⌃’ç=j5/º•\8÷iFýöÔ&gt;⌡qwý1á´fÊT‟⌇⌎[‾é5mB5WHGU011"/>
    <w:docVar w:name="zzmp10LastTrailerInserted_1078" w:val="^`~#mp!@⌝&gt;&gt;#;┚┪7:&lt;~řmQ⌑È6⌗FåVp‟⌓⌛sËÔX‟⌃è!ÃÞ⌐G[îìLƄÐ¹þ@y'⌜ť‿'85u+ℨ+⌒#&lt;rÎBiˋçÎ¢93(⌕‶2‡××xë'X_¸⌟Xõ&amp;M´¿6í‣l²Cy[³„⌅@ t⌄ãl¢⌆⌃’ç=j5/º•\8÷iFýöÔ&gt;⌡qwý1á´fÊT‟⌇⌎[‾é5mB5WHGU011"/>
    <w:docVar w:name="zzmp10mSEGsValidated" w:val="1"/>
    <w:docVar w:name="zzmpCompatibilityMode" w:val="15"/>
  </w:docVars>
  <w:rsids>
    <w:rsidRoot w:val="00B72C26"/>
    <w:rsid w:val="00000D4E"/>
    <w:rsid w:val="00011F03"/>
    <w:rsid w:val="000178D7"/>
    <w:rsid w:val="00021307"/>
    <w:rsid w:val="000231F7"/>
    <w:rsid w:val="000336E4"/>
    <w:rsid w:val="00034ABF"/>
    <w:rsid w:val="00040787"/>
    <w:rsid w:val="00053BE0"/>
    <w:rsid w:val="00057623"/>
    <w:rsid w:val="00064F51"/>
    <w:rsid w:val="00080CE4"/>
    <w:rsid w:val="00086C08"/>
    <w:rsid w:val="00090E46"/>
    <w:rsid w:val="0009146A"/>
    <w:rsid w:val="000B6ADF"/>
    <w:rsid w:val="000B6CAF"/>
    <w:rsid w:val="000C66EF"/>
    <w:rsid w:val="000D0F28"/>
    <w:rsid w:val="000E2B65"/>
    <w:rsid w:val="000E4E2A"/>
    <w:rsid w:val="000E56D3"/>
    <w:rsid w:val="000F1F9E"/>
    <w:rsid w:val="00101C2F"/>
    <w:rsid w:val="001072E2"/>
    <w:rsid w:val="00110B82"/>
    <w:rsid w:val="00130FB8"/>
    <w:rsid w:val="00141685"/>
    <w:rsid w:val="00150CC1"/>
    <w:rsid w:val="00154096"/>
    <w:rsid w:val="001567B3"/>
    <w:rsid w:val="0016348B"/>
    <w:rsid w:val="001701BD"/>
    <w:rsid w:val="00186C12"/>
    <w:rsid w:val="00195675"/>
    <w:rsid w:val="001A1BBB"/>
    <w:rsid w:val="001A3115"/>
    <w:rsid w:val="001A3581"/>
    <w:rsid w:val="001A5E4D"/>
    <w:rsid w:val="001B008F"/>
    <w:rsid w:val="001C09B2"/>
    <w:rsid w:val="001C0A3C"/>
    <w:rsid w:val="001D6EAD"/>
    <w:rsid w:val="001E5793"/>
    <w:rsid w:val="001F6707"/>
    <w:rsid w:val="00204D82"/>
    <w:rsid w:val="002064BF"/>
    <w:rsid w:val="00211291"/>
    <w:rsid w:val="00212422"/>
    <w:rsid w:val="00221482"/>
    <w:rsid w:val="0022451D"/>
    <w:rsid w:val="00224A69"/>
    <w:rsid w:val="0022593A"/>
    <w:rsid w:val="0023114F"/>
    <w:rsid w:val="00231CC6"/>
    <w:rsid w:val="00231DC4"/>
    <w:rsid w:val="002574B6"/>
    <w:rsid w:val="00257A37"/>
    <w:rsid w:val="0026691C"/>
    <w:rsid w:val="00271AD4"/>
    <w:rsid w:val="002753E6"/>
    <w:rsid w:val="00275E0F"/>
    <w:rsid w:val="00284875"/>
    <w:rsid w:val="002A0FFF"/>
    <w:rsid w:val="002A4DF7"/>
    <w:rsid w:val="002A5E1F"/>
    <w:rsid w:val="002D7AE4"/>
    <w:rsid w:val="002E3F52"/>
    <w:rsid w:val="002E4629"/>
    <w:rsid w:val="002E5AF1"/>
    <w:rsid w:val="00300CC1"/>
    <w:rsid w:val="00304206"/>
    <w:rsid w:val="00311E1C"/>
    <w:rsid w:val="003268AE"/>
    <w:rsid w:val="003304BA"/>
    <w:rsid w:val="00340E4F"/>
    <w:rsid w:val="00341F5E"/>
    <w:rsid w:val="00342B10"/>
    <w:rsid w:val="0034483E"/>
    <w:rsid w:val="00351988"/>
    <w:rsid w:val="0035278C"/>
    <w:rsid w:val="003561D4"/>
    <w:rsid w:val="00372F19"/>
    <w:rsid w:val="003732F1"/>
    <w:rsid w:val="00385F54"/>
    <w:rsid w:val="00395F19"/>
    <w:rsid w:val="0039717E"/>
    <w:rsid w:val="003A11A9"/>
    <w:rsid w:val="003A5C1C"/>
    <w:rsid w:val="003A5DBC"/>
    <w:rsid w:val="003B4392"/>
    <w:rsid w:val="003B663B"/>
    <w:rsid w:val="003D0FC7"/>
    <w:rsid w:val="003D3D16"/>
    <w:rsid w:val="003D5969"/>
    <w:rsid w:val="003E23AC"/>
    <w:rsid w:val="003E2BB7"/>
    <w:rsid w:val="0040143C"/>
    <w:rsid w:val="004147E6"/>
    <w:rsid w:val="004161F5"/>
    <w:rsid w:val="004217CB"/>
    <w:rsid w:val="004445F0"/>
    <w:rsid w:val="00453BEB"/>
    <w:rsid w:val="00453D85"/>
    <w:rsid w:val="0046646C"/>
    <w:rsid w:val="00474E6C"/>
    <w:rsid w:val="00477387"/>
    <w:rsid w:val="004818CD"/>
    <w:rsid w:val="00486F6A"/>
    <w:rsid w:val="004C171B"/>
    <w:rsid w:val="004C6D73"/>
    <w:rsid w:val="004C74F1"/>
    <w:rsid w:val="004D13F7"/>
    <w:rsid w:val="004D1631"/>
    <w:rsid w:val="004E12DE"/>
    <w:rsid w:val="004E2FD0"/>
    <w:rsid w:val="004E4A18"/>
    <w:rsid w:val="004E55F3"/>
    <w:rsid w:val="004F7B7E"/>
    <w:rsid w:val="005052AD"/>
    <w:rsid w:val="00506027"/>
    <w:rsid w:val="00514F8D"/>
    <w:rsid w:val="0052316C"/>
    <w:rsid w:val="0052454D"/>
    <w:rsid w:val="00536333"/>
    <w:rsid w:val="005404C3"/>
    <w:rsid w:val="00542251"/>
    <w:rsid w:val="00543438"/>
    <w:rsid w:val="005565FA"/>
    <w:rsid w:val="00557B63"/>
    <w:rsid w:val="00561B8F"/>
    <w:rsid w:val="00563EFB"/>
    <w:rsid w:val="0056611C"/>
    <w:rsid w:val="0057217B"/>
    <w:rsid w:val="005816D6"/>
    <w:rsid w:val="0059055A"/>
    <w:rsid w:val="00597699"/>
    <w:rsid w:val="005A0FD4"/>
    <w:rsid w:val="005A4CCD"/>
    <w:rsid w:val="005A52B0"/>
    <w:rsid w:val="005A597C"/>
    <w:rsid w:val="005A7A8F"/>
    <w:rsid w:val="005B624E"/>
    <w:rsid w:val="005C2FD1"/>
    <w:rsid w:val="005C640E"/>
    <w:rsid w:val="005E4186"/>
    <w:rsid w:val="005E706F"/>
    <w:rsid w:val="005F1BCF"/>
    <w:rsid w:val="005F2756"/>
    <w:rsid w:val="005F4AC5"/>
    <w:rsid w:val="005F666B"/>
    <w:rsid w:val="005F7406"/>
    <w:rsid w:val="0060130E"/>
    <w:rsid w:val="00602EB3"/>
    <w:rsid w:val="00637A90"/>
    <w:rsid w:val="00653CFB"/>
    <w:rsid w:val="00667958"/>
    <w:rsid w:val="00680BB3"/>
    <w:rsid w:val="006857AE"/>
    <w:rsid w:val="006A0C97"/>
    <w:rsid w:val="006B05EE"/>
    <w:rsid w:val="006B6676"/>
    <w:rsid w:val="006C661D"/>
    <w:rsid w:val="006D3C01"/>
    <w:rsid w:val="006E1AFA"/>
    <w:rsid w:val="006E378E"/>
    <w:rsid w:val="006F10E2"/>
    <w:rsid w:val="006F5DBF"/>
    <w:rsid w:val="00705889"/>
    <w:rsid w:val="00707BAA"/>
    <w:rsid w:val="0073147B"/>
    <w:rsid w:val="00731B94"/>
    <w:rsid w:val="00751299"/>
    <w:rsid w:val="0075596F"/>
    <w:rsid w:val="007715AB"/>
    <w:rsid w:val="00771694"/>
    <w:rsid w:val="00771D04"/>
    <w:rsid w:val="007775AE"/>
    <w:rsid w:val="00783E3D"/>
    <w:rsid w:val="007907C9"/>
    <w:rsid w:val="00796A46"/>
    <w:rsid w:val="007A5370"/>
    <w:rsid w:val="007A742B"/>
    <w:rsid w:val="007B1C53"/>
    <w:rsid w:val="007B424D"/>
    <w:rsid w:val="007C1AB1"/>
    <w:rsid w:val="007C5A8C"/>
    <w:rsid w:val="007D4DD1"/>
    <w:rsid w:val="007E3E90"/>
    <w:rsid w:val="007E66C0"/>
    <w:rsid w:val="007F2E9A"/>
    <w:rsid w:val="0080789D"/>
    <w:rsid w:val="00810E24"/>
    <w:rsid w:val="0081425B"/>
    <w:rsid w:val="008147D3"/>
    <w:rsid w:val="00843D23"/>
    <w:rsid w:val="0084799D"/>
    <w:rsid w:val="008574BF"/>
    <w:rsid w:val="00864ABB"/>
    <w:rsid w:val="00870339"/>
    <w:rsid w:val="00870ABA"/>
    <w:rsid w:val="00873A35"/>
    <w:rsid w:val="00875D53"/>
    <w:rsid w:val="00883AB5"/>
    <w:rsid w:val="00887CB9"/>
    <w:rsid w:val="008903E1"/>
    <w:rsid w:val="008B1E65"/>
    <w:rsid w:val="008B39C7"/>
    <w:rsid w:val="008B3A5B"/>
    <w:rsid w:val="008C145A"/>
    <w:rsid w:val="008C3876"/>
    <w:rsid w:val="008C3B01"/>
    <w:rsid w:val="008E0482"/>
    <w:rsid w:val="008F1C08"/>
    <w:rsid w:val="008F227B"/>
    <w:rsid w:val="008F56AA"/>
    <w:rsid w:val="008F5E6E"/>
    <w:rsid w:val="00905E0F"/>
    <w:rsid w:val="00913CFB"/>
    <w:rsid w:val="00925E3D"/>
    <w:rsid w:val="00932242"/>
    <w:rsid w:val="00943EF7"/>
    <w:rsid w:val="00957AEB"/>
    <w:rsid w:val="00967E02"/>
    <w:rsid w:val="009706D5"/>
    <w:rsid w:val="00974343"/>
    <w:rsid w:val="00983C25"/>
    <w:rsid w:val="009902F5"/>
    <w:rsid w:val="0099211F"/>
    <w:rsid w:val="00994687"/>
    <w:rsid w:val="00995A53"/>
    <w:rsid w:val="00996157"/>
    <w:rsid w:val="009973AF"/>
    <w:rsid w:val="009A0475"/>
    <w:rsid w:val="009B11EA"/>
    <w:rsid w:val="009C0818"/>
    <w:rsid w:val="009C0BFE"/>
    <w:rsid w:val="009C1AA3"/>
    <w:rsid w:val="009C5443"/>
    <w:rsid w:val="009C630D"/>
    <w:rsid w:val="009D62F9"/>
    <w:rsid w:val="009F2DA5"/>
    <w:rsid w:val="009F4953"/>
    <w:rsid w:val="00A0127D"/>
    <w:rsid w:val="00A055FA"/>
    <w:rsid w:val="00A056DF"/>
    <w:rsid w:val="00A12F71"/>
    <w:rsid w:val="00A2558D"/>
    <w:rsid w:val="00A30BC0"/>
    <w:rsid w:val="00A4031F"/>
    <w:rsid w:val="00A429C8"/>
    <w:rsid w:val="00A43DF9"/>
    <w:rsid w:val="00A44AC3"/>
    <w:rsid w:val="00A50B65"/>
    <w:rsid w:val="00A55316"/>
    <w:rsid w:val="00A80141"/>
    <w:rsid w:val="00A84DA0"/>
    <w:rsid w:val="00A94652"/>
    <w:rsid w:val="00A970FB"/>
    <w:rsid w:val="00AA1036"/>
    <w:rsid w:val="00AA2AE9"/>
    <w:rsid w:val="00AA329A"/>
    <w:rsid w:val="00AC58F2"/>
    <w:rsid w:val="00AD13C3"/>
    <w:rsid w:val="00AD2A88"/>
    <w:rsid w:val="00AF5530"/>
    <w:rsid w:val="00AF6F18"/>
    <w:rsid w:val="00B019CB"/>
    <w:rsid w:val="00B03B5F"/>
    <w:rsid w:val="00B0651E"/>
    <w:rsid w:val="00B1410D"/>
    <w:rsid w:val="00B52B9F"/>
    <w:rsid w:val="00B571C8"/>
    <w:rsid w:val="00B623CB"/>
    <w:rsid w:val="00B65FBE"/>
    <w:rsid w:val="00B71265"/>
    <w:rsid w:val="00B7240F"/>
    <w:rsid w:val="00B72C26"/>
    <w:rsid w:val="00B75C85"/>
    <w:rsid w:val="00B76086"/>
    <w:rsid w:val="00B829A2"/>
    <w:rsid w:val="00B84593"/>
    <w:rsid w:val="00B87BFA"/>
    <w:rsid w:val="00B87E6D"/>
    <w:rsid w:val="00B90942"/>
    <w:rsid w:val="00B9270F"/>
    <w:rsid w:val="00BA0268"/>
    <w:rsid w:val="00BA34F8"/>
    <w:rsid w:val="00BB3B56"/>
    <w:rsid w:val="00BB57E5"/>
    <w:rsid w:val="00BC0457"/>
    <w:rsid w:val="00BC1EB1"/>
    <w:rsid w:val="00BC5AC4"/>
    <w:rsid w:val="00BC77FF"/>
    <w:rsid w:val="00BD53A9"/>
    <w:rsid w:val="00BD71D7"/>
    <w:rsid w:val="00BE1B11"/>
    <w:rsid w:val="00BF36F8"/>
    <w:rsid w:val="00C02299"/>
    <w:rsid w:val="00C0474C"/>
    <w:rsid w:val="00C07BBC"/>
    <w:rsid w:val="00C07EA6"/>
    <w:rsid w:val="00C156BD"/>
    <w:rsid w:val="00C17A5F"/>
    <w:rsid w:val="00C3464D"/>
    <w:rsid w:val="00C400CC"/>
    <w:rsid w:val="00C411F0"/>
    <w:rsid w:val="00C422B8"/>
    <w:rsid w:val="00C510AE"/>
    <w:rsid w:val="00C60EC7"/>
    <w:rsid w:val="00C6636E"/>
    <w:rsid w:val="00C6739E"/>
    <w:rsid w:val="00C7077B"/>
    <w:rsid w:val="00C70D80"/>
    <w:rsid w:val="00C72A8F"/>
    <w:rsid w:val="00C82C05"/>
    <w:rsid w:val="00C916C2"/>
    <w:rsid w:val="00C91F0B"/>
    <w:rsid w:val="00C93AE1"/>
    <w:rsid w:val="00CA02A0"/>
    <w:rsid w:val="00CA70A4"/>
    <w:rsid w:val="00CB5E5F"/>
    <w:rsid w:val="00CC15CC"/>
    <w:rsid w:val="00CE235F"/>
    <w:rsid w:val="00CE5120"/>
    <w:rsid w:val="00CF151F"/>
    <w:rsid w:val="00CF635A"/>
    <w:rsid w:val="00D00ED4"/>
    <w:rsid w:val="00D05011"/>
    <w:rsid w:val="00D12E28"/>
    <w:rsid w:val="00D17740"/>
    <w:rsid w:val="00D217C5"/>
    <w:rsid w:val="00D315A4"/>
    <w:rsid w:val="00D32B10"/>
    <w:rsid w:val="00D36423"/>
    <w:rsid w:val="00D36B94"/>
    <w:rsid w:val="00D37E91"/>
    <w:rsid w:val="00D4162D"/>
    <w:rsid w:val="00D42285"/>
    <w:rsid w:val="00D43F19"/>
    <w:rsid w:val="00D462A4"/>
    <w:rsid w:val="00D72F3F"/>
    <w:rsid w:val="00D81BF2"/>
    <w:rsid w:val="00D8712F"/>
    <w:rsid w:val="00D958B4"/>
    <w:rsid w:val="00DB0E49"/>
    <w:rsid w:val="00DD1177"/>
    <w:rsid w:val="00DD152F"/>
    <w:rsid w:val="00DE08EE"/>
    <w:rsid w:val="00DE4351"/>
    <w:rsid w:val="00DF0C07"/>
    <w:rsid w:val="00DF5BEC"/>
    <w:rsid w:val="00E042F9"/>
    <w:rsid w:val="00E04699"/>
    <w:rsid w:val="00E100DD"/>
    <w:rsid w:val="00E10854"/>
    <w:rsid w:val="00E1682B"/>
    <w:rsid w:val="00E37D66"/>
    <w:rsid w:val="00E557BB"/>
    <w:rsid w:val="00E55AE5"/>
    <w:rsid w:val="00E57993"/>
    <w:rsid w:val="00E66DA2"/>
    <w:rsid w:val="00E71D4F"/>
    <w:rsid w:val="00E82F45"/>
    <w:rsid w:val="00E85F1F"/>
    <w:rsid w:val="00E93A4A"/>
    <w:rsid w:val="00EB2AE4"/>
    <w:rsid w:val="00EB54EE"/>
    <w:rsid w:val="00EC20B6"/>
    <w:rsid w:val="00ED12F3"/>
    <w:rsid w:val="00ED27FF"/>
    <w:rsid w:val="00ED728C"/>
    <w:rsid w:val="00ED7EA1"/>
    <w:rsid w:val="00EE0849"/>
    <w:rsid w:val="00EE41D0"/>
    <w:rsid w:val="00EF188E"/>
    <w:rsid w:val="00EF35E2"/>
    <w:rsid w:val="00EF4C26"/>
    <w:rsid w:val="00F128B4"/>
    <w:rsid w:val="00F13FC6"/>
    <w:rsid w:val="00F16A73"/>
    <w:rsid w:val="00F20299"/>
    <w:rsid w:val="00F22D66"/>
    <w:rsid w:val="00F24776"/>
    <w:rsid w:val="00F26183"/>
    <w:rsid w:val="00F26801"/>
    <w:rsid w:val="00F3396E"/>
    <w:rsid w:val="00F358E4"/>
    <w:rsid w:val="00F4786A"/>
    <w:rsid w:val="00F50DB8"/>
    <w:rsid w:val="00F51D40"/>
    <w:rsid w:val="00F54318"/>
    <w:rsid w:val="00F55880"/>
    <w:rsid w:val="00F64BDA"/>
    <w:rsid w:val="00F67774"/>
    <w:rsid w:val="00F70827"/>
    <w:rsid w:val="00F72D6F"/>
    <w:rsid w:val="00F77F29"/>
    <w:rsid w:val="00F861E1"/>
    <w:rsid w:val="00F87785"/>
    <w:rsid w:val="00F900DE"/>
    <w:rsid w:val="00F91616"/>
    <w:rsid w:val="00F93E72"/>
    <w:rsid w:val="00FA2950"/>
    <w:rsid w:val="00FA3F84"/>
    <w:rsid w:val="00FC3409"/>
    <w:rsid w:val="00FC56DE"/>
    <w:rsid w:val="00FD4B87"/>
    <w:rsid w:val="00FE2C5E"/>
    <w:rsid w:val="00FE41A7"/>
    <w:rsid w:val="00FE437B"/>
    <w:rsid w:val="00FF2E41"/>
    <w:rsid w:val="00FF624E"/>
  </w:rsids>
  <m:mathPr>
    <m:mathFont m:val="Cambria Math"/>
    <m:brkBin m:val="before"/>
    <m:brkBinSub m:val="--"/>
    <m:smallFrac m:val="0"/>
    <m:dispDef/>
    <m:lMargin m:val="0"/>
    <m:rMargin m:val="0"/>
    <m:defJc m:val="centerGroup"/>
    <m:wrapIndent m:val="1440"/>
    <m:intLim m:val="subSup"/>
    <m:naryLim m:val="undOvr"/>
  </m:mathPr>
  <w:attachedSchema w:val="urn-legalmacpac-data/10"/>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6EDCAC"/>
  <w15:chartTrackingRefBased/>
  <w15:docId w15:val="{A4AF6F5C-F782-4F25-8FAC-1C5DAD2F6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en-US" w:eastAsia="en-US" w:bidi="ar-SA"/>
      </w:rPr>
    </w:rPrDefault>
    <w:pPrDefault>
      <w:pPr>
        <w:spacing w:after="240"/>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39" w:unhideWhenUsed="1"/>
    <w:lsdException w:name="footer" w:semiHidden="1" w:uiPriority="99" w:unhideWhenUsed="1"/>
    <w:lsdException w:name="index heading" w:semiHidden="1" w:uiPriority="99" w:unhideWhenUsed="1"/>
    <w:lsdException w:name="caption" w:semiHidden="1" w:uiPriority="99" w:unhideWhenUsed="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iPriority="99" w:unhideWhenUsed="1"/>
    <w:lsdException w:name="toa heading" w:semiHidden="1" w:unhideWhenUsed="1"/>
    <w:lsdException w:name="List" w:semiHidden="1" w:uiPriority="99" w:unhideWhenUsed="1"/>
    <w:lsdException w:name="List Bullet" w:semiHidden="1" w:uiPriority="99" w:unhideWhenUsed="1"/>
    <w:lsdException w:name="List Number" w:uiPriority="28"/>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1" w:qFormat="1"/>
    <w:lsdException w:name="Closing" w:semiHidden="1" w:uiPriority="99" w:unhideWhenUsed="1"/>
    <w:lsdException w:name="Signature" w:locked="1"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uiPriority="99"/>
    <w:lsdException w:name="Salutation" w:semiHidden="1" w:unhideWhenUsed="1"/>
    <w:lsdException w:name="Date" w:semiHidden="1" w:uiPriority="99" w:unhideWhenUsed="1"/>
    <w:lsdException w:name="Body Text First Indent" w:locked="1" w:semiHidden="1" w:uiPriority="99" w:unhideWhenUsed="1"/>
    <w:lsdException w:name="Body Text First Indent 2" w:locked="1" w:semiHidden="1" w:uiPriority="99" w:unhideWhenUsed="1"/>
    <w:lsdException w:name="Note Heading" w:semiHidden="1" w:unhideWhenUsed="1"/>
    <w:lsdException w:name="Body Text 2" w:locked="1" w:semiHidden="1" w:uiPriority="99" w:unhideWhenUsed="1"/>
    <w:lsdException w:name="Body Text 3" w:locked="1" w:semiHidden="1" w:uiPriority="99" w:unhideWhenUsed="1"/>
    <w:lsdException w:name="Body Text Indent 2" w:semiHidden="1" w:uiPriority="99" w:unhideWhenUsed="1"/>
    <w:lsdException w:name="Body Text Indent 3" w:semiHidden="1" w:uiPriority="99" w:unhideWhenUsed="1"/>
    <w:lsdException w:name="Block Text" w:semiHidden="1" w:uiPriority="26" w:unhideWhenUsed="1" w:qFormat="1"/>
    <w:lsdException w:name="Hyperlink" w:semiHidden="1" w:uiPriority="99" w:unhideWhenUsed="1"/>
    <w:lsdException w:name="FollowedHyperlink" w:semiHidden="1" w:uiPriority="99" w:unhideWhenUsed="1"/>
    <w:lsdException w:name="Strong" w:locked="1" w:semiHidden="1" w:unhideWhenUsed="1" w:qFormat="1"/>
    <w:lsdException w:name="Emphasis" w:locked="1" w:semiHidden="1" w:uiPriority="99" w:unhideWhenUsed="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nhideWhenUsed="1"/>
    <w:lsdException w:name="No Spacing" w:uiPriority="99"/>
    <w:lsdException w:name="Light Shading" w:locked="1"/>
    <w:lsdException w:name="Light List" w:locked="1"/>
    <w:lsdException w:name="Light Grid" w:locked="1"/>
    <w:lsdException w:name="Medium Shading 1" w:locked="1"/>
    <w:lsdException w:name="Medium Shading 2" w:locked="1"/>
    <w:lsdException w:name="Medium List 1" w:locked="1"/>
    <w:lsdException w:name="Medium List 2" w:locked="1"/>
    <w:lsdException w:name="Medium Grid 1" w:locked="1"/>
    <w:lsdException w:name="Medium Grid 2" w:locked="1"/>
    <w:lsdException w:name="Medium Grid 3" w:locked="1"/>
    <w:lsdException w:name="Dark List" w:locked="1"/>
    <w:lsdException w:name="Colorful Shading" w:locked="1"/>
    <w:lsdException w:name="Colorful List" w:locked="1"/>
    <w:lsdException w:name="Colorful Grid" w:locked="1"/>
    <w:lsdException w:name="Light Shading Accent 1" w:locked="1"/>
    <w:lsdException w:name="Light List Accent 1" w:locked="1"/>
    <w:lsdException w:name="Light Grid Accent 1" w:locked="1"/>
    <w:lsdException w:name="Medium Shading 1 Accent 1" w:locked="1"/>
    <w:lsdException w:name="Medium Shading 2 Accent 1" w:locked="1"/>
    <w:lsdException w:name="Medium List 1 Accent 1" w:locked="1"/>
    <w:lsdException w:name="Revision" w:semiHidden="1"/>
    <w:lsdException w:name="List Paragraph" w:uiPriority="34" w:qFormat="1"/>
    <w:lsdException w:name="Quote" w:uiPriority="99" w:qFormat="1"/>
    <w:lsdException w:name="Intense Quote" w:uiPriority="99"/>
    <w:lsdException w:name="Medium List 2 Accent 1" w:locked="1"/>
    <w:lsdException w:name="Medium Grid 1 Accent 1" w:locked="1"/>
    <w:lsdException w:name="Medium Grid 2 Accent 1" w:locked="1"/>
    <w:lsdException w:name="Medium Grid 3 Accent 1" w:locked="1"/>
    <w:lsdException w:name="Dark List Accent 1" w:locked="1"/>
    <w:lsdException w:name="Colorful Shading Accent 1" w:locked="1"/>
    <w:lsdException w:name="Colorful List Accent 1" w:locked="1"/>
    <w:lsdException w:name="Colorful Grid Accent 1" w:locked="1"/>
    <w:lsdException w:name="Light Shading Accent 2" w:locked="1"/>
    <w:lsdException w:name="Light List Accent 2" w:locked="1"/>
    <w:lsdException w:name="Light Grid Accent 2" w:locked="1"/>
    <w:lsdException w:name="Medium Shading 1 Accent 2" w:locked="1"/>
    <w:lsdException w:name="Medium Shading 2 Accent 2" w:locked="1"/>
    <w:lsdException w:name="Medium List 1 Accent 2" w:locked="1"/>
    <w:lsdException w:name="Medium List 2 Accent 2" w:locked="1"/>
    <w:lsdException w:name="Medium Grid 1 Accent 2" w:locked="1"/>
    <w:lsdException w:name="Medium Grid 2 Accent 2" w:locked="1"/>
    <w:lsdException w:name="Medium Grid 3 Accent 2" w:locked="1"/>
    <w:lsdException w:name="Dark List Accent 2" w:locked="1"/>
    <w:lsdException w:name="Colorful Shading Accent 2" w:locked="1"/>
    <w:lsdException w:name="Colorful List Accent 2" w:locked="1"/>
    <w:lsdException w:name="Colorful Grid Accent 2" w:locked="1"/>
    <w:lsdException w:name="Light Shading Accent 3" w:locked="1"/>
    <w:lsdException w:name="Light List Accent 3" w:locked="1"/>
    <w:lsdException w:name="Light Grid Accent 3" w:locked="1"/>
    <w:lsdException w:name="Medium Shading 1 Accent 3" w:locked="1"/>
    <w:lsdException w:name="Medium Shading 2 Accent 3" w:locked="1"/>
    <w:lsdException w:name="Medium List 1 Accent 3" w:locked="1"/>
    <w:lsdException w:name="Medium List 2 Accent 3" w:locked="1"/>
    <w:lsdException w:name="Medium Grid 1 Accent 3" w:locked="1"/>
    <w:lsdException w:name="Medium Grid 2 Accent 3" w:locked="1"/>
    <w:lsdException w:name="Medium Grid 3 Accent 3" w:locked="1"/>
    <w:lsdException w:name="Dark List Accent 3" w:locked="1"/>
    <w:lsdException w:name="Colorful Shading Accent 3" w:locked="1"/>
    <w:lsdException w:name="Colorful List Accent 3" w:locked="1"/>
    <w:lsdException w:name="Colorful Grid Accent 3" w:locked="1"/>
    <w:lsdException w:name="Light Shading Accent 4" w:locked="1"/>
    <w:lsdException w:name="Light List Accent 4" w:locked="1"/>
    <w:lsdException w:name="Light Grid Accent 4" w:locked="1"/>
    <w:lsdException w:name="Medium Shading 1 Accent 4" w:locked="1"/>
    <w:lsdException w:name="Medium Shading 2 Accent 4" w:locked="1"/>
    <w:lsdException w:name="Medium List 1 Accent 4" w:locked="1"/>
    <w:lsdException w:name="Medium List 2 Accent 4" w:locked="1"/>
    <w:lsdException w:name="Medium Grid 1 Accent 4" w:locked="1"/>
    <w:lsdException w:name="Medium Grid 2 Accent 4" w:locked="1"/>
    <w:lsdException w:name="Medium Grid 3 Accent 4" w:locked="1"/>
    <w:lsdException w:name="Dark List Accent 4" w:locked="1"/>
    <w:lsdException w:name="Colorful Shading Accent 4" w:locked="1"/>
    <w:lsdException w:name="Colorful List Accent 4" w:locked="1"/>
    <w:lsdException w:name="Colorful Grid Accent 4" w:locked="1"/>
    <w:lsdException w:name="Light Shading Accent 5" w:locked="1"/>
    <w:lsdException w:name="Light List Accent 5" w:locked="1"/>
    <w:lsdException w:name="Light Grid Accent 5" w:locked="1"/>
    <w:lsdException w:name="Medium Shading 1 Accent 5" w:locked="1"/>
    <w:lsdException w:name="Medium Shading 2 Accent 5" w:locked="1"/>
    <w:lsdException w:name="Medium List 1 Accent 5" w:locked="1"/>
    <w:lsdException w:name="Medium List 2 Accent 5" w:locked="1"/>
    <w:lsdException w:name="Medium Grid 1 Accent 5" w:locked="1"/>
    <w:lsdException w:name="Medium Grid 2 Accent 5" w:locked="1"/>
    <w:lsdException w:name="Medium Grid 3 Accent 5" w:locked="1"/>
    <w:lsdException w:name="Dark List Accent 5" w:locked="1"/>
    <w:lsdException w:name="Colorful Shading Accent 5" w:locked="1"/>
    <w:lsdException w:name="Colorful List Accent 5" w:locked="1"/>
    <w:lsdException w:name="Colorful Grid Accent 5" w:locked="1"/>
    <w:lsdException w:name="Light Shading Accent 6" w:locked="1"/>
    <w:lsdException w:name="Light List Accent 6" w:locked="1"/>
    <w:lsdException w:name="Light Grid Accent 6" w:locked="1"/>
    <w:lsdException w:name="Medium Shading 1 Accent 6" w:locked="1"/>
    <w:lsdException w:name="Medium Shading 2 Accent 6" w:locked="1"/>
    <w:lsdException w:name="Medium List 1 Accent 6" w:locked="1"/>
    <w:lsdException w:name="Medium List 2 Accent 6" w:locked="1"/>
    <w:lsdException w:name="Medium Grid 1 Accent 6" w:locked="1"/>
    <w:lsdException w:name="Medium Grid 2 Accent 6" w:locked="1"/>
    <w:lsdException w:name="Medium Grid 3 Accent 6" w:locked="1"/>
    <w:lsdException w:name="Dark List Accent 6" w:locked="1"/>
    <w:lsdException w:name="Colorful Shading Accent 6" w:locked="1"/>
    <w:lsdException w:name="Colorful List Accent 6" w:locked="1"/>
    <w:lsdException w:name="Colorful Grid Accent 6" w:locked="1"/>
    <w:lsdException w:name="Subtle Emphasis" w:uiPriority="99"/>
    <w:lsdException w:name="Intense Emphasis" w:semiHidden="1" w:uiPriority="99" w:unhideWhenUsed="1"/>
    <w:lsdException w:name="Subtle Reference" w:uiPriority="99"/>
    <w:lsdException w:name="Intense Reference" w:uiPriority="99"/>
    <w:lsdException w:name="Book Title" w:semiHidden="1" w:uiPriority="99" w:unhideWhenUsed="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nhideWhenUsed/>
    <w:qFormat/>
    <w:rsid w:val="004E12DE"/>
    <w:pPr>
      <w:spacing w:after="0"/>
    </w:pPr>
  </w:style>
  <w:style w:type="paragraph" w:styleId="Heading1">
    <w:name w:val="heading 1"/>
    <w:basedOn w:val="Normal"/>
    <w:link w:val="Heading1Char"/>
    <w:uiPriority w:val="9"/>
    <w:qFormat/>
    <w:rsid w:val="007B1C53"/>
    <w:pPr>
      <w:spacing w:line="360" w:lineRule="auto"/>
      <w:jc w:val="center"/>
      <w:outlineLvl w:val="0"/>
    </w:pPr>
    <w:rPr>
      <w:b/>
      <w:bCs/>
      <w:sz w:val="22"/>
      <w:szCs w:val="22"/>
    </w:rPr>
  </w:style>
  <w:style w:type="paragraph" w:styleId="Heading2">
    <w:name w:val="heading 2"/>
    <w:basedOn w:val="Normal"/>
    <w:link w:val="Heading2Char"/>
    <w:uiPriority w:val="9"/>
    <w:qFormat/>
    <w:rsid w:val="007B1C53"/>
    <w:pPr>
      <w:spacing w:line="360" w:lineRule="auto"/>
      <w:outlineLvl w:val="1"/>
    </w:pPr>
    <w:rPr>
      <w:b/>
      <w:bCs/>
      <w:i/>
      <w:iCs/>
      <w:sz w:val="22"/>
      <w:szCs w:val="22"/>
    </w:rPr>
  </w:style>
  <w:style w:type="paragraph" w:styleId="Heading3">
    <w:name w:val="heading 3"/>
    <w:basedOn w:val="ListParagraph"/>
    <w:link w:val="Heading3Char"/>
    <w:uiPriority w:val="9"/>
    <w:qFormat/>
    <w:rsid w:val="007B1C53"/>
    <w:pPr>
      <w:numPr>
        <w:numId w:val="34"/>
      </w:numPr>
      <w:spacing w:beforeLines="388" w:before="931" w:line="360" w:lineRule="auto"/>
      <w:outlineLvl w:val="2"/>
    </w:pPr>
    <w:rPr>
      <w:b/>
      <w:bCs/>
      <w:sz w:val="22"/>
      <w:szCs w:val="22"/>
    </w:rPr>
  </w:style>
  <w:style w:type="paragraph" w:styleId="Heading4">
    <w:name w:val="heading 4"/>
    <w:basedOn w:val="ListParagraph"/>
    <w:link w:val="Heading4Char"/>
    <w:uiPriority w:val="9"/>
    <w:unhideWhenUsed/>
    <w:qFormat/>
    <w:rsid w:val="00C07EA6"/>
    <w:pPr>
      <w:numPr>
        <w:ilvl w:val="1"/>
        <w:numId w:val="30"/>
      </w:numPr>
      <w:spacing w:line="360" w:lineRule="auto"/>
      <w:outlineLvl w:val="3"/>
    </w:pPr>
    <w:rPr>
      <w:b/>
      <w:bCs/>
      <w:sz w:val="22"/>
      <w:szCs w:val="22"/>
    </w:rPr>
  </w:style>
  <w:style w:type="paragraph" w:styleId="Heading5">
    <w:name w:val="heading 5"/>
    <w:basedOn w:val="Normal"/>
    <w:link w:val="Heading5Char"/>
    <w:uiPriority w:val="9"/>
    <w:unhideWhenUsed/>
    <w:qFormat/>
    <w:rsid w:val="00372F19"/>
    <w:pPr>
      <w:outlineLvl w:val="4"/>
    </w:pPr>
  </w:style>
  <w:style w:type="paragraph" w:styleId="Heading6">
    <w:name w:val="heading 6"/>
    <w:basedOn w:val="Normal"/>
    <w:link w:val="Heading6Char"/>
    <w:uiPriority w:val="9"/>
    <w:unhideWhenUsed/>
    <w:qFormat/>
    <w:rsid w:val="00372F19"/>
    <w:pPr>
      <w:outlineLvl w:val="5"/>
    </w:pPr>
  </w:style>
  <w:style w:type="paragraph" w:styleId="Heading7">
    <w:name w:val="heading 7"/>
    <w:basedOn w:val="Normal"/>
    <w:link w:val="Heading7Char"/>
    <w:uiPriority w:val="9"/>
    <w:unhideWhenUsed/>
    <w:qFormat/>
    <w:rsid w:val="00372F19"/>
    <w:pPr>
      <w:outlineLvl w:val="6"/>
    </w:pPr>
  </w:style>
  <w:style w:type="paragraph" w:styleId="Heading8">
    <w:name w:val="heading 8"/>
    <w:basedOn w:val="Normal"/>
    <w:link w:val="Heading8Char"/>
    <w:uiPriority w:val="9"/>
    <w:unhideWhenUsed/>
    <w:qFormat/>
    <w:rsid w:val="00372F19"/>
    <w:pPr>
      <w:outlineLvl w:val="7"/>
    </w:pPr>
    <w:rPr>
      <w:szCs w:val="20"/>
    </w:rPr>
  </w:style>
  <w:style w:type="paragraph" w:styleId="Heading9">
    <w:name w:val="heading 9"/>
    <w:basedOn w:val="Normal"/>
    <w:link w:val="Heading9Char"/>
    <w:uiPriority w:val="9"/>
    <w:unhideWhenUsed/>
    <w:qFormat/>
    <w:rsid w:val="00372F1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uiPriority w:val="26"/>
    <w:qFormat/>
    <w:rsid w:val="00372F19"/>
    <w:pPr>
      <w:ind w:left="1440" w:right="1440"/>
    </w:pPr>
    <w:rPr>
      <w:iCs/>
    </w:rPr>
  </w:style>
  <w:style w:type="paragraph" w:customStyle="1" w:styleId="BodyH1">
    <w:name w:val="Body H1"/>
    <w:basedOn w:val="Normal"/>
    <w:uiPriority w:val="49"/>
    <w:semiHidden/>
    <w:unhideWhenUsed/>
    <w:rsid w:val="00372F19"/>
    <w:pPr>
      <w:spacing w:line="280" w:lineRule="exact"/>
      <w:ind w:firstLine="1440"/>
      <w:jc w:val="both"/>
    </w:pPr>
    <w:rPr>
      <w:rFonts w:eastAsia="Times New Roman"/>
      <w:szCs w:val="20"/>
    </w:rPr>
  </w:style>
  <w:style w:type="paragraph" w:customStyle="1" w:styleId="BodyH2">
    <w:name w:val="Body H2"/>
    <w:basedOn w:val="Normal"/>
    <w:uiPriority w:val="49"/>
    <w:semiHidden/>
    <w:unhideWhenUsed/>
    <w:rsid w:val="00372F19"/>
    <w:pPr>
      <w:spacing w:line="280" w:lineRule="exact"/>
      <w:ind w:firstLine="1440"/>
      <w:jc w:val="both"/>
    </w:pPr>
    <w:rPr>
      <w:rFonts w:eastAsia="Times New Roman"/>
      <w:szCs w:val="20"/>
    </w:rPr>
  </w:style>
  <w:style w:type="paragraph" w:customStyle="1" w:styleId="BodyH3">
    <w:name w:val="Body H3"/>
    <w:basedOn w:val="Normal"/>
    <w:uiPriority w:val="49"/>
    <w:semiHidden/>
    <w:unhideWhenUsed/>
    <w:rsid w:val="00372F19"/>
    <w:pPr>
      <w:spacing w:line="280" w:lineRule="exact"/>
      <w:ind w:firstLine="1440"/>
      <w:jc w:val="both"/>
    </w:pPr>
    <w:rPr>
      <w:rFonts w:eastAsia="Times New Roman"/>
      <w:szCs w:val="20"/>
    </w:rPr>
  </w:style>
  <w:style w:type="paragraph" w:customStyle="1" w:styleId="BodyH4">
    <w:name w:val="Body H4"/>
    <w:basedOn w:val="Normal"/>
    <w:uiPriority w:val="49"/>
    <w:semiHidden/>
    <w:unhideWhenUsed/>
    <w:rsid w:val="00372F19"/>
    <w:pPr>
      <w:spacing w:line="280" w:lineRule="exact"/>
      <w:ind w:firstLine="1440"/>
      <w:jc w:val="both"/>
    </w:pPr>
    <w:rPr>
      <w:rFonts w:eastAsia="Times New Roman"/>
      <w:szCs w:val="20"/>
    </w:rPr>
  </w:style>
  <w:style w:type="character" w:customStyle="1" w:styleId="Heading1Char">
    <w:name w:val="Heading 1 Char"/>
    <w:basedOn w:val="DefaultParagraphFont"/>
    <w:link w:val="Heading1"/>
    <w:uiPriority w:val="9"/>
    <w:rsid w:val="007B1C53"/>
    <w:rPr>
      <w:b/>
      <w:bCs/>
      <w:sz w:val="22"/>
      <w:szCs w:val="22"/>
    </w:rPr>
  </w:style>
  <w:style w:type="character" w:customStyle="1" w:styleId="Heading2Char">
    <w:name w:val="Heading 2 Char"/>
    <w:basedOn w:val="DefaultParagraphFont"/>
    <w:link w:val="Heading2"/>
    <w:uiPriority w:val="9"/>
    <w:rsid w:val="007B1C53"/>
    <w:rPr>
      <w:b/>
      <w:bCs/>
      <w:i/>
      <w:iCs/>
      <w:sz w:val="22"/>
      <w:szCs w:val="22"/>
    </w:rPr>
  </w:style>
  <w:style w:type="character" w:customStyle="1" w:styleId="Heading3Char">
    <w:name w:val="Heading 3 Char"/>
    <w:basedOn w:val="DefaultParagraphFont"/>
    <w:link w:val="Heading3"/>
    <w:uiPriority w:val="9"/>
    <w:rsid w:val="007B1C53"/>
    <w:rPr>
      <w:b/>
      <w:bCs/>
      <w:sz w:val="22"/>
      <w:szCs w:val="22"/>
    </w:rPr>
  </w:style>
  <w:style w:type="character" w:customStyle="1" w:styleId="Heading4Char">
    <w:name w:val="Heading 4 Char"/>
    <w:basedOn w:val="DefaultParagraphFont"/>
    <w:link w:val="Heading4"/>
    <w:uiPriority w:val="9"/>
    <w:rsid w:val="00C07EA6"/>
    <w:rPr>
      <w:b/>
      <w:bCs/>
      <w:sz w:val="22"/>
      <w:szCs w:val="22"/>
    </w:rPr>
  </w:style>
  <w:style w:type="character" w:customStyle="1" w:styleId="Heading5Char">
    <w:name w:val="Heading 5 Char"/>
    <w:basedOn w:val="DefaultParagraphFont"/>
    <w:link w:val="Heading5"/>
    <w:uiPriority w:val="9"/>
    <w:rsid w:val="00B71265"/>
    <w:rPr>
      <w:rFonts w:eastAsiaTheme="minorHAnsi" w:cstheme="minorBidi"/>
      <w:sz w:val="24"/>
      <w:szCs w:val="24"/>
      <w:lang w:bidi="en-US"/>
    </w:rPr>
  </w:style>
  <w:style w:type="character" w:customStyle="1" w:styleId="Heading6Char">
    <w:name w:val="Heading 6 Char"/>
    <w:basedOn w:val="DefaultParagraphFont"/>
    <w:link w:val="Heading6"/>
    <w:uiPriority w:val="9"/>
    <w:rsid w:val="00B71265"/>
    <w:rPr>
      <w:rFonts w:eastAsiaTheme="minorHAnsi" w:cstheme="minorBidi"/>
      <w:sz w:val="24"/>
      <w:szCs w:val="24"/>
      <w:lang w:bidi="en-US"/>
    </w:rPr>
  </w:style>
  <w:style w:type="character" w:customStyle="1" w:styleId="Heading7Char">
    <w:name w:val="Heading 7 Char"/>
    <w:basedOn w:val="DefaultParagraphFont"/>
    <w:link w:val="Heading7"/>
    <w:uiPriority w:val="9"/>
    <w:rsid w:val="00B71265"/>
    <w:rPr>
      <w:rFonts w:eastAsiaTheme="minorHAnsi" w:cstheme="minorBidi"/>
      <w:sz w:val="24"/>
      <w:szCs w:val="24"/>
      <w:lang w:bidi="en-US"/>
    </w:rPr>
  </w:style>
  <w:style w:type="character" w:customStyle="1" w:styleId="Heading8Char">
    <w:name w:val="Heading 8 Char"/>
    <w:basedOn w:val="DefaultParagraphFont"/>
    <w:link w:val="Heading8"/>
    <w:uiPriority w:val="9"/>
    <w:rsid w:val="00B71265"/>
    <w:rPr>
      <w:rFonts w:eastAsiaTheme="minorHAnsi" w:cstheme="minorBidi"/>
      <w:sz w:val="24"/>
      <w:lang w:bidi="en-US"/>
    </w:rPr>
  </w:style>
  <w:style w:type="character" w:customStyle="1" w:styleId="Heading9Char">
    <w:name w:val="Heading 9 Char"/>
    <w:basedOn w:val="DefaultParagraphFont"/>
    <w:link w:val="Heading9"/>
    <w:uiPriority w:val="9"/>
    <w:rsid w:val="00B71265"/>
    <w:rPr>
      <w:rFonts w:eastAsiaTheme="minorHAnsi" w:cstheme="minorBidi"/>
      <w:sz w:val="24"/>
      <w:szCs w:val="24"/>
      <w:lang w:bidi="en-US"/>
    </w:rPr>
  </w:style>
  <w:style w:type="paragraph" w:customStyle="1" w:styleId="BodyText2">
    <w:name w:val="Body Text2"/>
    <w:basedOn w:val="Normal"/>
    <w:uiPriority w:val="28"/>
    <w:qFormat/>
    <w:rsid w:val="00372F19"/>
    <w:pPr>
      <w:spacing w:line="480" w:lineRule="auto"/>
    </w:pPr>
  </w:style>
  <w:style w:type="paragraph" w:customStyle="1" w:styleId="BodyText3">
    <w:name w:val="Body Text3"/>
    <w:basedOn w:val="Normal"/>
    <w:uiPriority w:val="29"/>
    <w:qFormat/>
    <w:rsid w:val="00372F19"/>
    <w:pPr>
      <w:spacing w:line="720" w:lineRule="auto"/>
    </w:pPr>
  </w:style>
  <w:style w:type="paragraph" w:customStyle="1" w:styleId="Bodytextfirstindent5double">
    <w:name w:val="Body text first indent .5 double"/>
    <w:basedOn w:val="Normal"/>
    <w:uiPriority w:val="23"/>
    <w:qFormat/>
    <w:rsid w:val="00B571C8"/>
    <w:pPr>
      <w:spacing w:line="480" w:lineRule="auto"/>
      <w:ind w:firstLine="720"/>
    </w:pPr>
  </w:style>
  <w:style w:type="paragraph" w:customStyle="1" w:styleId="Bodytextfirstindent5single">
    <w:name w:val="Body text first indent .5 single"/>
    <w:basedOn w:val="Normal"/>
    <w:uiPriority w:val="22"/>
    <w:qFormat/>
    <w:rsid w:val="00021307"/>
    <w:pPr>
      <w:spacing w:after="240"/>
      <w:ind w:firstLine="720"/>
    </w:pPr>
  </w:style>
  <w:style w:type="paragraph" w:customStyle="1" w:styleId="Bodytextfirstindent1double">
    <w:name w:val="Body text first indent 1 double"/>
    <w:basedOn w:val="Normal"/>
    <w:uiPriority w:val="25"/>
    <w:qFormat/>
    <w:rsid w:val="00372F19"/>
    <w:pPr>
      <w:spacing w:line="480" w:lineRule="auto"/>
      <w:ind w:firstLine="1440"/>
    </w:pPr>
  </w:style>
  <w:style w:type="paragraph" w:customStyle="1" w:styleId="Bodytextfirstindent1single">
    <w:name w:val="Body text first indent 1 single"/>
    <w:basedOn w:val="Normal"/>
    <w:uiPriority w:val="24"/>
    <w:qFormat/>
    <w:rsid w:val="00021307"/>
    <w:pPr>
      <w:spacing w:after="240"/>
      <w:ind w:firstLine="1440"/>
    </w:pPr>
  </w:style>
  <w:style w:type="paragraph" w:customStyle="1" w:styleId="BodyText1">
    <w:name w:val="Body Text1"/>
    <w:basedOn w:val="Normal"/>
    <w:uiPriority w:val="27"/>
    <w:qFormat/>
    <w:rsid w:val="00372F19"/>
  </w:style>
  <w:style w:type="numbering" w:customStyle="1" w:styleId="EBGNumberedOutline">
    <w:name w:val="EBG Numbered Outline"/>
    <w:uiPriority w:val="99"/>
    <w:rsid w:val="00372F19"/>
    <w:pPr>
      <w:numPr>
        <w:numId w:val="21"/>
      </w:numPr>
    </w:pPr>
  </w:style>
  <w:style w:type="numbering" w:customStyle="1" w:styleId="EBGPointI-Brief">
    <w:name w:val="EBG Point I - Brief"/>
    <w:uiPriority w:val="99"/>
    <w:rsid w:val="00372F19"/>
    <w:pPr>
      <w:numPr>
        <w:numId w:val="22"/>
      </w:numPr>
    </w:pPr>
  </w:style>
  <w:style w:type="numbering" w:customStyle="1" w:styleId="EBGPointI">
    <w:name w:val="EBG Point I"/>
    <w:aliases w:val="1.,(a),(i)"/>
    <w:uiPriority w:val="99"/>
    <w:rsid w:val="00372F19"/>
    <w:pPr>
      <w:numPr>
        <w:numId w:val="23"/>
      </w:numPr>
    </w:pPr>
  </w:style>
  <w:style w:type="numbering" w:customStyle="1" w:styleId="EBGThreeLevelNumbering">
    <w:name w:val="EBG Three Level Numbering"/>
    <w:uiPriority w:val="99"/>
    <w:rsid w:val="00372F19"/>
    <w:pPr>
      <w:numPr>
        <w:numId w:val="24"/>
      </w:numPr>
    </w:pPr>
  </w:style>
  <w:style w:type="numbering" w:customStyle="1" w:styleId="EBGTwoLevelNumbering">
    <w:name w:val="EBG Two Level Numbering"/>
    <w:uiPriority w:val="99"/>
    <w:rsid w:val="00372F19"/>
    <w:pPr>
      <w:numPr>
        <w:numId w:val="25"/>
      </w:numPr>
    </w:pPr>
  </w:style>
  <w:style w:type="paragraph" w:styleId="Footer">
    <w:name w:val="footer"/>
    <w:basedOn w:val="Normal"/>
    <w:link w:val="FooterChar"/>
    <w:uiPriority w:val="99"/>
    <w:rsid w:val="00372F19"/>
    <w:pPr>
      <w:tabs>
        <w:tab w:val="center" w:pos="4680"/>
        <w:tab w:val="right" w:pos="9360"/>
      </w:tabs>
      <w:jc w:val="center"/>
    </w:pPr>
  </w:style>
  <w:style w:type="character" w:customStyle="1" w:styleId="FooterChar">
    <w:name w:val="Footer Char"/>
    <w:basedOn w:val="DefaultParagraphFont"/>
    <w:link w:val="Footer"/>
    <w:uiPriority w:val="99"/>
    <w:rsid w:val="00B71265"/>
    <w:rPr>
      <w:rFonts w:eastAsiaTheme="minorHAnsi" w:cstheme="minorBidi"/>
      <w:sz w:val="24"/>
      <w:szCs w:val="24"/>
      <w:lang w:bidi="en-US"/>
    </w:rPr>
  </w:style>
  <w:style w:type="paragraph" w:customStyle="1" w:styleId="FooterLandscape">
    <w:name w:val="Footer Landscape"/>
    <w:basedOn w:val="Normal"/>
    <w:uiPriority w:val="39"/>
    <w:rsid w:val="00372F19"/>
    <w:pPr>
      <w:tabs>
        <w:tab w:val="center" w:pos="6480"/>
        <w:tab w:val="right" w:pos="12960"/>
      </w:tabs>
      <w:jc w:val="both"/>
    </w:pPr>
    <w:rPr>
      <w:rFonts w:eastAsia="Times New Roman"/>
    </w:rPr>
  </w:style>
  <w:style w:type="character" w:styleId="FootnoteReference">
    <w:name w:val="footnote reference"/>
    <w:basedOn w:val="DefaultParagraphFont"/>
    <w:uiPriority w:val="99"/>
    <w:unhideWhenUsed/>
    <w:rsid w:val="00372F19"/>
    <w:rPr>
      <w:vertAlign w:val="superscript"/>
    </w:rPr>
  </w:style>
  <w:style w:type="paragraph" w:styleId="FootnoteText">
    <w:name w:val="footnote text"/>
    <w:basedOn w:val="Normal"/>
    <w:link w:val="FootnoteTextChar"/>
    <w:uiPriority w:val="99"/>
    <w:unhideWhenUsed/>
    <w:rsid w:val="00372F19"/>
    <w:pPr>
      <w:framePr w:wrap="notBeside" w:hAnchor="text"/>
    </w:pPr>
    <w:rPr>
      <w:sz w:val="20"/>
      <w:szCs w:val="20"/>
    </w:rPr>
  </w:style>
  <w:style w:type="character" w:customStyle="1" w:styleId="FootnoteTextChar">
    <w:name w:val="Footnote Text Char"/>
    <w:basedOn w:val="DefaultParagraphFont"/>
    <w:link w:val="FootnoteText"/>
    <w:uiPriority w:val="99"/>
    <w:rsid w:val="00B71265"/>
    <w:rPr>
      <w:rFonts w:eastAsiaTheme="minorHAnsi" w:cstheme="minorBidi"/>
      <w:lang w:bidi="en-US"/>
    </w:rPr>
  </w:style>
  <w:style w:type="paragraph" w:styleId="Header">
    <w:name w:val="header"/>
    <w:basedOn w:val="Normal"/>
    <w:link w:val="HeaderChar"/>
    <w:uiPriority w:val="39"/>
    <w:rsid w:val="00372F19"/>
    <w:pPr>
      <w:tabs>
        <w:tab w:val="center" w:pos="4680"/>
        <w:tab w:val="right" w:pos="9360"/>
      </w:tabs>
      <w:jc w:val="both"/>
    </w:pPr>
    <w:rPr>
      <w:rFonts w:eastAsia="Times New Roman"/>
    </w:rPr>
  </w:style>
  <w:style w:type="character" w:customStyle="1" w:styleId="HeaderChar">
    <w:name w:val="Header Char"/>
    <w:basedOn w:val="DefaultParagraphFont"/>
    <w:link w:val="Header"/>
    <w:uiPriority w:val="39"/>
    <w:rsid w:val="00B71265"/>
    <w:rPr>
      <w:rFonts w:eastAsia="Times New Roman"/>
      <w:sz w:val="24"/>
      <w:szCs w:val="24"/>
    </w:rPr>
  </w:style>
  <w:style w:type="paragraph" w:customStyle="1" w:styleId="HeaderLandscape">
    <w:name w:val="Header Landscape"/>
    <w:basedOn w:val="FooterLandscape"/>
    <w:uiPriority w:val="39"/>
    <w:rsid w:val="00372F19"/>
  </w:style>
  <w:style w:type="paragraph" w:customStyle="1" w:styleId="ListBulletIndented">
    <w:name w:val="List Bullet Indented"/>
    <w:basedOn w:val="Normal"/>
    <w:uiPriority w:val="30"/>
    <w:rsid w:val="00372F19"/>
    <w:pPr>
      <w:numPr>
        <w:numId w:val="26"/>
      </w:numPr>
      <w:jc w:val="both"/>
    </w:pPr>
    <w:rPr>
      <w:rFonts w:eastAsia="Times New Roman"/>
    </w:rPr>
  </w:style>
  <w:style w:type="paragraph" w:styleId="ListNumber">
    <w:name w:val="List Number"/>
    <w:basedOn w:val="Normal"/>
    <w:uiPriority w:val="31"/>
    <w:rsid w:val="00372F19"/>
    <w:pPr>
      <w:numPr>
        <w:numId w:val="27"/>
      </w:numPr>
      <w:jc w:val="both"/>
    </w:pPr>
    <w:rPr>
      <w:rFonts w:eastAsia="Times New Roman"/>
    </w:rPr>
  </w:style>
  <w:style w:type="numbering" w:customStyle="1" w:styleId="NoNumberHeadingOne">
    <w:name w:val="No Number Heading One"/>
    <w:uiPriority w:val="99"/>
    <w:rsid w:val="00372F19"/>
    <w:pPr>
      <w:numPr>
        <w:numId w:val="28"/>
      </w:numPr>
    </w:pPr>
  </w:style>
  <w:style w:type="paragraph" w:styleId="NoSpacing">
    <w:name w:val="No Spacing"/>
    <w:link w:val="NoSpacingChar"/>
    <w:uiPriority w:val="99"/>
    <w:unhideWhenUsed/>
    <w:rsid w:val="00372F19"/>
    <w:rPr>
      <w:rFonts w:cstheme="minorBidi"/>
      <w:lang w:bidi="en-US"/>
    </w:rPr>
  </w:style>
  <w:style w:type="character" w:customStyle="1" w:styleId="NoSpacingChar">
    <w:name w:val="No Spacing Char"/>
    <w:basedOn w:val="DefaultParagraphFont"/>
    <w:link w:val="NoSpacing"/>
    <w:uiPriority w:val="99"/>
    <w:rsid w:val="00B71265"/>
    <w:rPr>
      <w:rFonts w:eastAsiaTheme="minorHAnsi" w:cstheme="minorBidi"/>
      <w:sz w:val="24"/>
      <w:szCs w:val="24"/>
      <w:lang w:bidi="en-US"/>
    </w:rPr>
  </w:style>
  <w:style w:type="paragraph" w:styleId="Quote">
    <w:name w:val="Quote"/>
    <w:basedOn w:val="Normal"/>
    <w:next w:val="Normal"/>
    <w:link w:val="QuoteChar"/>
    <w:uiPriority w:val="99"/>
    <w:unhideWhenUsed/>
    <w:qFormat/>
    <w:rsid w:val="00372F19"/>
    <w:rPr>
      <w:i/>
      <w:iCs/>
      <w:color w:val="000000" w:themeColor="text1"/>
    </w:rPr>
  </w:style>
  <w:style w:type="character" w:customStyle="1" w:styleId="QuoteChar">
    <w:name w:val="Quote Char"/>
    <w:basedOn w:val="DefaultParagraphFont"/>
    <w:link w:val="Quote"/>
    <w:uiPriority w:val="99"/>
    <w:rsid w:val="00B71265"/>
    <w:rPr>
      <w:rFonts w:eastAsiaTheme="minorHAnsi" w:cstheme="minorBidi"/>
      <w:i/>
      <w:iCs/>
      <w:color w:val="000000" w:themeColor="text1"/>
      <w:sz w:val="24"/>
      <w:szCs w:val="24"/>
      <w:lang w:bidi="en-US"/>
    </w:rPr>
  </w:style>
  <w:style w:type="paragraph" w:customStyle="1" w:styleId="Signatureline">
    <w:name w:val="Signature line"/>
    <w:basedOn w:val="Normal"/>
    <w:uiPriority w:val="32"/>
    <w:qFormat/>
    <w:rsid w:val="00372F19"/>
    <w:pPr>
      <w:tabs>
        <w:tab w:val="right" w:leader="underscore" w:pos="9360"/>
      </w:tabs>
      <w:ind w:left="4320"/>
    </w:pPr>
  </w:style>
  <w:style w:type="character" w:styleId="SubtleEmphasis">
    <w:name w:val="Subtle Emphasis"/>
    <w:basedOn w:val="DefaultParagraphFont"/>
    <w:uiPriority w:val="99"/>
    <w:unhideWhenUsed/>
    <w:rsid w:val="00372F19"/>
    <w:rPr>
      <w:i/>
      <w:iCs/>
      <w:color w:val="808080" w:themeColor="text1" w:themeTint="7F"/>
    </w:rPr>
  </w:style>
  <w:style w:type="character" w:styleId="SubtleReference">
    <w:name w:val="Subtle Reference"/>
    <w:basedOn w:val="DefaultParagraphFont"/>
    <w:uiPriority w:val="99"/>
    <w:unhideWhenUsed/>
    <w:rsid w:val="00372F19"/>
    <w:rPr>
      <w:smallCaps/>
      <w:color w:val="C0504D" w:themeColor="accent2"/>
      <w:u w:val="single"/>
    </w:rPr>
  </w:style>
  <w:style w:type="paragraph" w:styleId="Title">
    <w:name w:val="Title"/>
    <w:basedOn w:val="Normal"/>
    <w:next w:val="Normal"/>
    <w:link w:val="TitleChar"/>
    <w:uiPriority w:val="1"/>
    <w:unhideWhenUsed/>
    <w:qFormat/>
    <w:rsid w:val="007F2E9A"/>
    <w:pPr>
      <w:keepNext/>
      <w:jc w:val="center"/>
      <w:outlineLvl w:val="0"/>
    </w:pPr>
    <w:rPr>
      <w:rFonts w:eastAsiaTheme="majorEastAsia" w:cstheme="majorBidi"/>
      <w:b/>
      <w:caps/>
      <w:spacing w:val="5"/>
      <w:kern w:val="28"/>
      <w:szCs w:val="52"/>
    </w:rPr>
  </w:style>
  <w:style w:type="character" w:customStyle="1" w:styleId="TitleChar">
    <w:name w:val="Title Char"/>
    <w:basedOn w:val="DefaultParagraphFont"/>
    <w:link w:val="Title"/>
    <w:uiPriority w:val="1"/>
    <w:rsid w:val="007F2E9A"/>
    <w:rPr>
      <w:rFonts w:eastAsiaTheme="majorEastAsia" w:cstheme="majorBidi"/>
      <w:b/>
      <w:caps/>
      <w:spacing w:val="5"/>
      <w:kern w:val="28"/>
      <w:szCs w:val="52"/>
    </w:rPr>
  </w:style>
  <w:style w:type="paragraph" w:customStyle="1" w:styleId="Titleleft">
    <w:name w:val="Title left"/>
    <w:basedOn w:val="Normal"/>
    <w:uiPriority w:val="1"/>
    <w:qFormat/>
    <w:rsid w:val="00372F19"/>
    <w:pPr>
      <w:keepNext/>
    </w:pPr>
    <w:rPr>
      <w:b/>
      <w:caps/>
    </w:rPr>
  </w:style>
  <w:style w:type="paragraph" w:customStyle="1" w:styleId="TitleleftNoTOC">
    <w:name w:val="Title left No TOC"/>
    <w:basedOn w:val="Normal"/>
    <w:uiPriority w:val="3"/>
    <w:qFormat/>
    <w:rsid w:val="00372F19"/>
    <w:rPr>
      <w:b/>
      <w:caps/>
    </w:rPr>
  </w:style>
  <w:style w:type="paragraph" w:customStyle="1" w:styleId="TitlenoTOC">
    <w:name w:val="Title no TOC"/>
    <w:basedOn w:val="Normal"/>
    <w:uiPriority w:val="2"/>
    <w:qFormat/>
    <w:rsid w:val="00372F19"/>
    <w:pPr>
      <w:keepNext/>
      <w:jc w:val="center"/>
    </w:pPr>
    <w:rPr>
      <w:b/>
      <w:caps/>
    </w:rPr>
  </w:style>
  <w:style w:type="paragraph" w:styleId="TOCHeading">
    <w:name w:val="TOC Heading"/>
    <w:basedOn w:val="Heading1"/>
    <w:next w:val="Normal"/>
    <w:uiPriority w:val="39"/>
    <w:unhideWhenUsed/>
    <w:qFormat/>
    <w:rsid w:val="00372F19"/>
    <w:pPr>
      <w:framePr w:wrap="notBeside" w:hAnchor="text"/>
      <w:outlineLvl w:val="9"/>
    </w:pPr>
  </w:style>
  <w:style w:type="table" w:styleId="MediumShading2-Accent6">
    <w:name w:val="Medium Shading 2 Accent 6"/>
    <w:basedOn w:val="TableNormal"/>
    <w:locked/>
    <w:rsid w:val="00771694"/>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odyText">
    <w:name w:val="Body Text"/>
    <w:basedOn w:val="Normal"/>
    <w:link w:val="BodyTextChar"/>
    <w:uiPriority w:val="26"/>
    <w:rsid w:val="00021307"/>
    <w:pPr>
      <w:spacing w:after="240"/>
    </w:pPr>
  </w:style>
  <w:style w:type="character" w:customStyle="1" w:styleId="BodyTextChar">
    <w:name w:val="Body Text Char"/>
    <w:basedOn w:val="DefaultParagraphFont"/>
    <w:link w:val="BodyText"/>
    <w:uiPriority w:val="26"/>
    <w:rsid w:val="00021307"/>
  </w:style>
  <w:style w:type="paragraph" w:styleId="Subtitle">
    <w:name w:val="Subtitle"/>
    <w:basedOn w:val="Normal"/>
    <w:next w:val="Normal"/>
    <w:link w:val="SubtitleChar"/>
    <w:uiPriority w:val="99"/>
    <w:rsid w:val="00E85F1F"/>
    <w:pPr>
      <w:numPr>
        <w:ilvl w:val="1"/>
      </w:numPr>
    </w:pPr>
    <w:rPr>
      <w:rFonts w:eastAsiaTheme="minorEastAsia" w:cstheme="minorBidi"/>
      <w:color w:val="000000" w:themeColor="text1"/>
      <w:spacing w:val="15"/>
      <w:szCs w:val="22"/>
    </w:rPr>
  </w:style>
  <w:style w:type="character" w:customStyle="1" w:styleId="SubtitleChar">
    <w:name w:val="Subtitle Char"/>
    <w:basedOn w:val="DefaultParagraphFont"/>
    <w:link w:val="Subtitle"/>
    <w:uiPriority w:val="99"/>
    <w:rsid w:val="00E85F1F"/>
    <w:rPr>
      <w:rFonts w:eastAsiaTheme="minorEastAsia" w:cstheme="minorBidi"/>
      <w:color w:val="000000" w:themeColor="text1"/>
      <w:spacing w:val="15"/>
      <w:szCs w:val="22"/>
    </w:rPr>
  </w:style>
  <w:style w:type="paragraph" w:customStyle="1" w:styleId="MacPacTrailer">
    <w:name w:val="MacPac Trailer"/>
    <w:rsid w:val="00CE5120"/>
    <w:pPr>
      <w:widowControl w:val="0"/>
      <w:spacing w:after="0" w:line="200" w:lineRule="exact"/>
    </w:pPr>
    <w:rPr>
      <w:rFonts w:eastAsia="Times New Roman"/>
      <w:sz w:val="16"/>
      <w:szCs w:val="22"/>
    </w:rPr>
  </w:style>
  <w:style w:type="character" w:styleId="PlaceholderText">
    <w:name w:val="Placeholder Text"/>
    <w:basedOn w:val="DefaultParagraphFont"/>
    <w:unhideWhenUsed/>
    <w:rsid w:val="00BC77FF"/>
    <w:rPr>
      <w:color w:val="808080"/>
    </w:rPr>
  </w:style>
  <w:style w:type="paragraph" w:styleId="ListParagraph">
    <w:name w:val="List Paragraph"/>
    <w:basedOn w:val="Normal"/>
    <w:uiPriority w:val="34"/>
    <w:qFormat/>
    <w:rsid w:val="00DF5BEC"/>
    <w:pPr>
      <w:ind w:left="720"/>
      <w:contextualSpacing/>
    </w:pPr>
  </w:style>
  <w:style w:type="character" w:styleId="CommentReference">
    <w:name w:val="annotation reference"/>
    <w:basedOn w:val="DefaultParagraphFont"/>
    <w:uiPriority w:val="99"/>
    <w:semiHidden/>
    <w:unhideWhenUsed/>
    <w:rsid w:val="007A742B"/>
    <w:rPr>
      <w:sz w:val="16"/>
      <w:szCs w:val="16"/>
    </w:rPr>
  </w:style>
  <w:style w:type="paragraph" w:styleId="CommentText">
    <w:name w:val="annotation text"/>
    <w:basedOn w:val="Normal"/>
    <w:link w:val="CommentTextChar"/>
    <w:uiPriority w:val="99"/>
    <w:semiHidden/>
    <w:unhideWhenUsed/>
    <w:rsid w:val="007A742B"/>
    <w:rPr>
      <w:sz w:val="20"/>
      <w:szCs w:val="20"/>
    </w:rPr>
  </w:style>
  <w:style w:type="character" w:customStyle="1" w:styleId="CommentTextChar">
    <w:name w:val="Comment Text Char"/>
    <w:basedOn w:val="DefaultParagraphFont"/>
    <w:link w:val="CommentText"/>
    <w:uiPriority w:val="99"/>
    <w:semiHidden/>
    <w:rsid w:val="007A742B"/>
    <w:rPr>
      <w:sz w:val="20"/>
      <w:szCs w:val="20"/>
    </w:rPr>
  </w:style>
  <w:style w:type="paragraph" w:styleId="CommentSubject">
    <w:name w:val="annotation subject"/>
    <w:basedOn w:val="CommentText"/>
    <w:next w:val="CommentText"/>
    <w:link w:val="CommentSubjectChar"/>
    <w:uiPriority w:val="99"/>
    <w:semiHidden/>
    <w:unhideWhenUsed/>
    <w:rsid w:val="007A742B"/>
    <w:rPr>
      <w:b/>
      <w:bCs/>
    </w:rPr>
  </w:style>
  <w:style w:type="character" w:customStyle="1" w:styleId="CommentSubjectChar">
    <w:name w:val="Comment Subject Char"/>
    <w:basedOn w:val="CommentTextChar"/>
    <w:link w:val="CommentSubject"/>
    <w:uiPriority w:val="99"/>
    <w:semiHidden/>
    <w:rsid w:val="007A742B"/>
    <w:rPr>
      <w:b/>
      <w:bCs/>
      <w:sz w:val="20"/>
      <w:szCs w:val="20"/>
    </w:rPr>
  </w:style>
  <w:style w:type="character" w:styleId="Hyperlink">
    <w:name w:val="Hyperlink"/>
    <w:basedOn w:val="DefaultParagraphFont"/>
    <w:uiPriority w:val="99"/>
    <w:unhideWhenUsed/>
    <w:rsid w:val="001A3115"/>
    <w:rPr>
      <w:color w:val="0000FF" w:themeColor="hyperlink"/>
      <w:u w:val="single"/>
    </w:rPr>
  </w:style>
  <w:style w:type="character" w:styleId="UnresolvedMention">
    <w:name w:val="Unresolved Mention"/>
    <w:basedOn w:val="DefaultParagraphFont"/>
    <w:uiPriority w:val="99"/>
    <w:semiHidden/>
    <w:unhideWhenUsed/>
    <w:rsid w:val="001A3115"/>
    <w:rPr>
      <w:color w:val="605E5C"/>
      <w:shd w:val="clear" w:color="auto" w:fill="E1DFDD"/>
    </w:rPr>
  </w:style>
  <w:style w:type="paragraph" w:styleId="BalloonText">
    <w:name w:val="Balloon Text"/>
    <w:basedOn w:val="Normal"/>
    <w:link w:val="BalloonTextChar"/>
    <w:uiPriority w:val="99"/>
    <w:semiHidden/>
    <w:unhideWhenUsed/>
    <w:rsid w:val="00300CC1"/>
    <w:rPr>
      <w:sz w:val="18"/>
      <w:szCs w:val="18"/>
    </w:rPr>
  </w:style>
  <w:style w:type="character" w:customStyle="1" w:styleId="BalloonTextChar">
    <w:name w:val="Balloon Text Char"/>
    <w:basedOn w:val="DefaultParagraphFont"/>
    <w:link w:val="BalloonText"/>
    <w:uiPriority w:val="99"/>
    <w:semiHidden/>
    <w:rsid w:val="00300CC1"/>
    <w:rPr>
      <w:sz w:val="18"/>
      <w:szCs w:val="18"/>
    </w:rPr>
  </w:style>
  <w:style w:type="paragraph" w:styleId="Revision">
    <w:name w:val="Revision"/>
    <w:hidden/>
    <w:semiHidden/>
    <w:rsid w:val="00221482"/>
    <w:pPr>
      <w:spacing w:after="0"/>
    </w:pPr>
  </w:style>
  <w:style w:type="paragraph" w:customStyle="1" w:styleId="DocID">
    <w:name w:val="DocID"/>
    <w:basedOn w:val="Normal"/>
    <w:qFormat/>
    <w:rsid w:val="0059055A"/>
    <w:pPr>
      <w:framePr w:wrap="notBeside" w:vAnchor="page" w:hAnchor="text" w:y="15121"/>
      <w:spacing w:line="200" w:lineRule="exact"/>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6285620">
      <w:bodyDiv w:val="1"/>
      <w:marLeft w:val="0"/>
      <w:marRight w:val="0"/>
      <w:marTop w:val="0"/>
      <w:marBottom w:val="0"/>
      <w:divBdr>
        <w:top w:val="none" w:sz="0" w:space="0" w:color="auto"/>
        <w:left w:val="none" w:sz="0" w:space="0" w:color="auto"/>
        <w:bottom w:val="none" w:sz="0" w:space="0" w:color="auto"/>
        <w:right w:val="none" w:sz="0" w:space="0" w:color="auto"/>
      </w:divBdr>
    </w:div>
    <w:div w:id="813062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www.imanage.com/work/xmlschema">
  <documentid>FIRM!66867896.1</documentid>
  <senderid>EFOGLER</senderid>
  <senderemail>EFOGLER@EBGLAW.COM</senderemail>
  <lastmodified>2025-02-21T07:43:00.0000000-05:00</lastmodified>
  <database>FIRM</database>
</properties>
</file>

<file path=customXml/itemProps1.xml><?xml version="1.0" encoding="utf-8"?>
<ds:datastoreItem xmlns:ds="http://schemas.openxmlformats.org/officeDocument/2006/customXml" ds:itemID="{B2F0E927-14D0-9049-AB5D-D09441F80831}">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8</Pages>
  <Words>2552</Words>
  <Characters>15738</Characters>
  <Application>Microsoft Office Word</Application>
  <DocSecurity>8</DocSecurity>
  <Lines>253</Lines>
  <Paragraphs>41</Paragraphs>
  <ScaleCrop>false</ScaleCrop>
  <HeadingPairs>
    <vt:vector size="2" baseType="variant">
      <vt:variant>
        <vt:lpstr>Title</vt:lpstr>
      </vt:variant>
      <vt:variant>
        <vt:i4>1</vt:i4>
      </vt:variant>
    </vt:vector>
  </HeadingPairs>
  <TitlesOfParts>
    <vt:vector size="1" baseType="lpstr">
      <vt:lpstr>V3.0_FINAL_DETAILED SUMMARY OF KEY CHANGES FROM V1.0_2.0</vt:lpstr>
    </vt:vector>
  </TitlesOfParts>
  <Manager/>
  <Company>Epstein Becker Green</Company>
  <LinksUpToDate>false</LinksUpToDate>
  <CharactersWithSpaces>18291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V3.0_FINAL_DETAILED-SUMMARY-OF-KEY-CHANGES-FROM-V1.0_2.0</dc:title>
  <dc:subject/>
  <dc:creator>Emily Chi Fogler</dc:creator>
  <cp:keywords/>
  <dc:description/>
  <cp:lastModifiedBy>Witte, Elizabeth R</cp:lastModifiedBy>
  <cp:revision>38</cp:revision>
  <cp:lastPrinted>2025-02-19T22:02:00Z</cp:lastPrinted>
  <dcterms:created xsi:type="dcterms:W3CDTF">2025-02-03T19:16:00Z</dcterms:created>
  <dcterms:modified xsi:type="dcterms:W3CDTF">2025-02-24T15:04:00Z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XDOCID">
    <vt:lpwstr>FIRM:66867896v1</vt:lpwstr>
  </property>
  <property fmtid="{D5CDD505-2E9C-101B-9397-08002B2CF9AE}" pid="3" name="DocXFormat">
    <vt:lpwstr>EBGDocID</vt:lpwstr>
  </property>
  <property fmtid="{D5CDD505-2E9C-101B-9397-08002B2CF9AE}" pid="4" name="DocXLocation">
    <vt:lpwstr>EveryPage</vt:lpwstr>
  </property>
</Properties>
</file>