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755D7E16" w:rsidR="008E7767" w:rsidRPr="008300C6" w:rsidRDefault="00253FCE" w:rsidP="00554023">
      <w:pPr>
        <w:spacing w:after="0" w:line="240" w:lineRule="auto"/>
        <w:rPr>
          <w:rFonts w:ascii="Calibri" w:eastAsia="Calibri" w:hAnsi="Calibri" w:cs="Calibri"/>
          <w:b/>
          <w:bCs/>
          <w:color w:val="2E3192"/>
          <w:sz w:val="32"/>
          <w:szCs w:val="32"/>
        </w:rPr>
        <w:sectPr w:rsidR="008E7767" w:rsidRPr="008300C6" w:rsidSect="00537F37">
          <w:headerReference w:type="default" r:id="rId8"/>
          <w:footerReference w:type="default" r:id="rId9"/>
          <w:headerReference w:type="first" r:id="rId10"/>
          <w:footerReference w:type="first" r:id="rId11"/>
          <w:type w:val="continuous"/>
          <w:pgSz w:w="12240" w:h="15840"/>
          <w:pgMar w:top="1440" w:right="720" w:bottom="720" w:left="720" w:header="720" w:footer="1440" w:gutter="0"/>
          <w:cols w:space="720"/>
          <w:titlePg/>
          <w:docGrid w:linePitch="360"/>
        </w:sectPr>
      </w:pPr>
      <w:r>
        <w:rPr>
          <w:rFonts w:ascii="Calibri" w:eastAsia="Calibri" w:hAnsi="Calibri" w:cs="Calibri"/>
          <w:b/>
          <w:bCs/>
          <w:color w:val="2E3192"/>
          <w:sz w:val="32"/>
          <w:szCs w:val="32"/>
        </w:rPr>
        <w:br/>
      </w:r>
      <w:r w:rsidR="00554023">
        <w:rPr>
          <w:rFonts w:ascii="Calibri" w:eastAsia="Calibri" w:hAnsi="Calibri" w:cs="Calibri"/>
          <w:b/>
          <w:bCs/>
          <w:color w:val="2E3192"/>
          <w:sz w:val="32"/>
          <w:szCs w:val="32"/>
        </w:rPr>
        <w:t>Letter</w:t>
      </w:r>
      <w:r w:rsidR="00402BE9">
        <w:rPr>
          <w:rFonts w:ascii="Calibri" w:eastAsia="Calibri" w:hAnsi="Calibri" w:cs="Calibri"/>
          <w:b/>
          <w:bCs/>
          <w:color w:val="2E3192"/>
          <w:sz w:val="32"/>
          <w:szCs w:val="32"/>
        </w:rPr>
        <w:t xml:space="preserve"> of</w:t>
      </w:r>
      <w:r w:rsidR="00554023">
        <w:rPr>
          <w:rFonts w:ascii="Calibri" w:eastAsia="Calibri" w:hAnsi="Calibri" w:cs="Calibri"/>
          <w:b/>
          <w:bCs/>
          <w:color w:val="2E3192"/>
          <w:sz w:val="32"/>
          <w:szCs w:val="32"/>
        </w:rPr>
        <w:t xml:space="preserve"> Acknowledgement</w:t>
      </w:r>
      <w:r w:rsidR="00D50F7A">
        <w:rPr>
          <w:rFonts w:ascii="Calibri" w:eastAsia="Calibri" w:hAnsi="Calibri" w:cs="Calibri"/>
          <w:b/>
          <w:bCs/>
          <w:color w:val="2E3192"/>
          <w:sz w:val="32"/>
          <w:szCs w:val="32"/>
        </w:rPr>
        <w:t xml:space="preserve"> (Default </w:t>
      </w:r>
      <w:r w:rsidR="00682520">
        <w:rPr>
          <w:rFonts w:ascii="Calibri" w:eastAsia="Calibri" w:hAnsi="Calibri" w:cs="Calibri"/>
          <w:b/>
          <w:bCs/>
          <w:color w:val="2E3192"/>
          <w:sz w:val="32"/>
          <w:szCs w:val="32"/>
        </w:rPr>
        <w:t>Implementation</w:t>
      </w:r>
      <w:r w:rsidR="00785D96">
        <w:rPr>
          <w:rFonts w:ascii="Calibri" w:eastAsia="Calibri" w:hAnsi="Calibri" w:cs="Calibri"/>
          <w:b/>
          <w:bCs/>
          <w:color w:val="2E3192"/>
          <w:sz w:val="32"/>
          <w:szCs w:val="32"/>
        </w:rPr>
        <w:t>)</w:t>
      </w:r>
    </w:p>
    <w:p w14:paraId="739E6964" w14:textId="79E66B65" w:rsidR="00554023" w:rsidRPr="009F0A55" w:rsidRDefault="005F0604" w:rsidP="00402BE9">
      <w:pPr>
        <w:spacing w:after="240"/>
      </w:pPr>
      <w:r>
        <w:t xml:space="preserve">IRB Review will be ceded under the </w:t>
      </w:r>
      <w:hyperlink r:id="rId12" w:history="1">
        <w:r w:rsidRPr="005375B2">
          <w:rPr>
            <w:rStyle w:val="Hyperlink"/>
            <w:b/>
            <w:bCs/>
          </w:rPr>
          <w:t>SMART IRB Agreement Version 3.0</w:t>
        </w:r>
      </w:hyperlink>
      <w:r>
        <w:t>. Q</w:t>
      </w:r>
      <w:r w:rsidRPr="001A5FD8">
        <w:t xml:space="preserve">uestions </w:t>
      </w:r>
      <w:r>
        <w:t xml:space="preserve">regarding this reliance arrangement should be directed </w:t>
      </w:r>
      <w:proofErr w:type="gramStart"/>
      <w:r>
        <w:t>to</w:t>
      </w:r>
      <w:proofErr w:type="gramEnd"/>
      <w:r>
        <w:t xml:space="preserve"> SMART IRB institutional </w:t>
      </w:r>
      <w:hyperlink r:id="rId13" w:history="1">
        <w:r w:rsidRPr="00B34300">
          <w:rPr>
            <w:rStyle w:val="Hyperlink"/>
          </w:rPr>
          <w:t>Points of Contact</w:t>
        </w:r>
      </w:hyperlink>
      <w:r>
        <w:t>.</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50"/>
      </w:tblGrid>
      <w:tr w:rsidR="00D22695" w:rsidRPr="001A5FD8" w14:paraId="258AFE2A" w14:textId="77777777" w:rsidTr="000539B9">
        <w:tc>
          <w:tcPr>
            <w:tcW w:w="2880" w:type="dxa"/>
          </w:tcPr>
          <w:p w14:paraId="6D93B6C5" w14:textId="77777777" w:rsidR="00D22695" w:rsidRPr="001A5FD8" w:rsidRDefault="00D22695" w:rsidP="005B00B0">
            <w:pPr>
              <w:keepNext/>
            </w:pPr>
            <w:r>
              <w:t>Reviewing IRB Institution</w:t>
            </w:r>
          </w:p>
        </w:tc>
        <w:tc>
          <w:tcPr>
            <w:tcW w:w="7650" w:type="dxa"/>
          </w:tcPr>
          <w:p w14:paraId="56D7880B" w14:textId="77777777" w:rsidR="00D22695" w:rsidRPr="001A5FD8" w:rsidRDefault="00D22695" w:rsidP="005B00B0">
            <w:pPr>
              <w:keepNext/>
            </w:pPr>
          </w:p>
        </w:tc>
      </w:tr>
      <w:tr w:rsidR="00D22695" w:rsidRPr="001A5FD8" w14:paraId="0B3A4F35" w14:textId="77777777" w:rsidTr="000539B9">
        <w:tc>
          <w:tcPr>
            <w:tcW w:w="2880" w:type="dxa"/>
          </w:tcPr>
          <w:p w14:paraId="604567E0" w14:textId="77777777" w:rsidR="00D22695" w:rsidRPr="001A5FD8" w:rsidRDefault="00D22695" w:rsidP="005B00B0">
            <w:pPr>
              <w:keepNext/>
            </w:pPr>
            <w:r>
              <w:t>Relying Institution</w:t>
            </w:r>
          </w:p>
        </w:tc>
        <w:tc>
          <w:tcPr>
            <w:tcW w:w="7650" w:type="dxa"/>
          </w:tcPr>
          <w:p w14:paraId="61AED550" w14:textId="77777777" w:rsidR="00D22695" w:rsidRPr="001A5FD8" w:rsidRDefault="00D22695" w:rsidP="005B00B0">
            <w:pPr>
              <w:keepNext/>
              <w:rPr>
                <w:i/>
              </w:rPr>
            </w:pPr>
          </w:p>
        </w:tc>
      </w:tr>
      <w:tr w:rsidR="00D22695" w:rsidRPr="001A5FD8" w14:paraId="73173A2B" w14:textId="77777777" w:rsidTr="000539B9">
        <w:tc>
          <w:tcPr>
            <w:tcW w:w="2880" w:type="dxa"/>
          </w:tcPr>
          <w:p w14:paraId="56FD625E" w14:textId="77777777" w:rsidR="00D22695" w:rsidRDefault="00D22695" w:rsidP="005B00B0">
            <w:pPr>
              <w:keepNext/>
            </w:pPr>
            <w:r>
              <w:t xml:space="preserve">Research </w:t>
            </w:r>
            <w:r w:rsidRPr="001A5FD8">
              <w:t>Study Title</w:t>
            </w:r>
            <w:r>
              <w:t>(s)</w:t>
            </w:r>
            <w:r w:rsidRPr="001A5FD8">
              <w:t>:</w:t>
            </w:r>
          </w:p>
        </w:tc>
        <w:tc>
          <w:tcPr>
            <w:tcW w:w="7650" w:type="dxa"/>
          </w:tcPr>
          <w:p w14:paraId="51B3A03E" w14:textId="77777777" w:rsidR="00D22695" w:rsidRPr="001A5FD8" w:rsidRDefault="00D22695" w:rsidP="005B00B0">
            <w:pPr>
              <w:keepNext/>
              <w:rPr>
                <w:i/>
              </w:rPr>
            </w:pPr>
          </w:p>
        </w:tc>
      </w:tr>
      <w:tr w:rsidR="00D22695" w:rsidRPr="001A5FD8" w14:paraId="372C5D95" w14:textId="77777777" w:rsidTr="000539B9">
        <w:tc>
          <w:tcPr>
            <w:tcW w:w="2880" w:type="dxa"/>
          </w:tcPr>
          <w:p w14:paraId="5D1F870B" w14:textId="77777777" w:rsidR="00D22695" w:rsidRDefault="00D22695" w:rsidP="005B00B0">
            <w:pPr>
              <w:keepNext/>
            </w:pPr>
            <w:r>
              <w:t>Reviewing Institution PI/IRB#</w:t>
            </w:r>
          </w:p>
        </w:tc>
        <w:tc>
          <w:tcPr>
            <w:tcW w:w="7650" w:type="dxa"/>
          </w:tcPr>
          <w:p w14:paraId="1D8CA1EA" w14:textId="77777777" w:rsidR="00D22695" w:rsidRPr="001A5FD8" w:rsidRDefault="00D22695" w:rsidP="005B00B0">
            <w:pPr>
              <w:keepNext/>
              <w:rPr>
                <w:i/>
              </w:rPr>
            </w:pPr>
          </w:p>
        </w:tc>
      </w:tr>
      <w:tr w:rsidR="00D22695" w:rsidRPr="001A5FD8" w14:paraId="1B30DF10" w14:textId="77777777" w:rsidTr="000539B9">
        <w:tc>
          <w:tcPr>
            <w:tcW w:w="2880" w:type="dxa"/>
          </w:tcPr>
          <w:p w14:paraId="3C0EF339" w14:textId="77777777" w:rsidR="00D22695" w:rsidRDefault="00D22695" w:rsidP="005B00B0">
            <w:pPr>
              <w:keepNext/>
            </w:pPr>
            <w:r>
              <w:t>Relying Institution Site Investigator/IRB#</w:t>
            </w:r>
          </w:p>
        </w:tc>
        <w:tc>
          <w:tcPr>
            <w:tcW w:w="7650" w:type="dxa"/>
          </w:tcPr>
          <w:p w14:paraId="2495A03C" w14:textId="77777777" w:rsidR="00D22695" w:rsidRPr="001A5FD8" w:rsidRDefault="00D22695" w:rsidP="005B00B0">
            <w:pPr>
              <w:keepNext/>
              <w:rPr>
                <w:i/>
              </w:rPr>
            </w:pPr>
          </w:p>
        </w:tc>
      </w:tr>
      <w:tr w:rsidR="005072E1" w:rsidRPr="001A5FD8" w14:paraId="7D7FA6B7" w14:textId="77777777" w:rsidTr="000539B9">
        <w:tc>
          <w:tcPr>
            <w:tcW w:w="10530" w:type="dxa"/>
            <w:gridSpan w:val="2"/>
          </w:tcPr>
          <w:p w14:paraId="3CEA244E" w14:textId="27D68B56" w:rsidR="005072E1" w:rsidRPr="000539B9" w:rsidRDefault="005072E1" w:rsidP="005072E1">
            <w:pPr>
              <w:keepNext/>
              <w:rPr>
                <w:b/>
                <w:bCs/>
                <w:iCs/>
              </w:rPr>
            </w:pPr>
            <w:r w:rsidRPr="000539B9">
              <w:rPr>
                <w:b/>
                <w:bCs/>
                <w:iCs/>
              </w:rPr>
              <w:t xml:space="preserve">This Letter of Acknowledgment </w:t>
            </w:r>
            <w:r w:rsidR="00924F28" w:rsidRPr="000539B9">
              <w:rPr>
                <w:b/>
                <w:bCs/>
                <w:iCs/>
              </w:rPr>
              <w:t xml:space="preserve">was </w:t>
            </w:r>
            <w:r w:rsidRPr="000539B9">
              <w:rPr>
                <w:b/>
                <w:bCs/>
                <w:iCs/>
              </w:rPr>
              <w:t>completed by the following</w:t>
            </w:r>
            <w:r w:rsidR="00924F28" w:rsidRPr="000539B9">
              <w:rPr>
                <w:b/>
                <w:bCs/>
                <w:iCs/>
              </w:rPr>
              <w:t xml:space="preserve"> institutional representatives</w:t>
            </w:r>
            <w:r w:rsidRPr="000539B9">
              <w:rPr>
                <w:b/>
                <w:bCs/>
                <w:iCs/>
              </w:rPr>
              <w:t xml:space="preserve"> </w:t>
            </w:r>
            <w:r w:rsidR="00924F28" w:rsidRPr="000539B9">
              <w:rPr>
                <w:b/>
                <w:bCs/>
                <w:iCs/>
              </w:rPr>
              <w:t>(Name, Role, Date)</w:t>
            </w:r>
            <w:r w:rsidRPr="000539B9">
              <w:rPr>
                <w:b/>
                <w:bCs/>
                <w:iCs/>
              </w:rPr>
              <w:t>:</w:t>
            </w:r>
          </w:p>
        </w:tc>
      </w:tr>
      <w:tr w:rsidR="005072E1" w:rsidRPr="001A5FD8" w14:paraId="70513197" w14:textId="77777777" w:rsidTr="000539B9">
        <w:tc>
          <w:tcPr>
            <w:tcW w:w="2880" w:type="dxa"/>
          </w:tcPr>
          <w:p w14:paraId="252BA747" w14:textId="63AA7C88" w:rsidR="005072E1" w:rsidRDefault="005072E1" w:rsidP="005072E1">
            <w:pPr>
              <w:keepNext/>
            </w:pPr>
            <w:r>
              <w:t xml:space="preserve">Reviewing Institution POC/Designee </w:t>
            </w:r>
          </w:p>
        </w:tc>
        <w:tc>
          <w:tcPr>
            <w:tcW w:w="7650" w:type="dxa"/>
          </w:tcPr>
          <w:p w14:paraId="16BD1EBF" w14:textId="77777777" w:rsidR="005072E1" w:rsidRPr="001A5FD8" w:rsidRDefault="005072E1" w:rsidP="005072E1">
            <w:pPr>
              <w:keepNext/>
              <w:rPr>
                <w:i/>
              </w:rPr>
            </w:pPr>
          </w:p>
        </w:tc>
      </w:tr>
      <w:tr w:rsidR="005072E1" w:rsidRPr="001A5FD8" w14:paraId="766F7C31" w14:textId="77777777" w:rsidTr="000539B9">
        <w:tc>
          <w:tcPr>
            <w:tcW w:w="2880" w:type="dxa"/>
          </w:tcPr>
          <w:p w14:paraId="75E87480" w14:textId="1E785F13" w:rsidR="005072E1" w:rsidRDefault="005072E1" w:rsidP="005072E1">
            <w:pPr>
              <w:keepNext/>
            </w:pPr>
            <w:r>
              <w:t xml:space="preserve">Relying Institution POC/Designee </w:t>
            </w:r>
          </w:p>
        </w:tc>
        <w:tc>
          <w:tcPr>
            <w:tcW w:w="7650" w:type="dxa"/>
          </w:tcPr>
          <w:p w14:paraId="71CA3C12" w14:textId="77777777" w:rsidR="005072E1" w:rsidRPr="001A5FD8" w:rsidRDefault="005072E1" w:rsidP="005072E1">
            <w:pPr>
              <w:keepNext/>
              <w:rPr>
                <w:i/>
              </w:rPr>
            </w:pPr>
          </w:p>
        </w:tc>
      </w:tr>
    </w:tbl>
    <w:p w14:paraId="4D517723" w14:textId="77777777" w:rsidR="00A916A4" w:rsidRDefault="00A916A4" w:rsidP="009A0D9A">
      <w:pPr>
        <w:spacing w:after="0" w:line="240" w:lineRule="auto"/>
        <w:jc w:val="center"/>
        <w:rPr>
          <w:rFonts w:ascii="Calibri" w:eastAsia="Calibri" w:hAnsi="Calibri" w:cs="Calibri"/>
          <w:b/>
          <w:bCs/>
          <w:color w:val="2E3192"/>
          <w:sz w:val="24"/>
          <w:szCs w:val="24"/>
          <w:u w:val="single"/>
        </w:rPr>
      </w:pPr>
    </w:p>
    <w:p w14:paraId="5C21CCDE" w14:textId="3E3D704F" w:rsidR="002A5B2F" w:rsidRPr="0014033E" w:rsidRDefault="00A9270C" w:rsidP="0014033E">
      <w:pPr>
        <w:spacing w:after="0" w:line="240" w:lineRule="auto"/>
        <w:jc w:val="center"/>
        <w:rPr>
          <w:rFonts w:ascii="Calibri" w:eastAsia="Calibri" w:hAnsi="Calibri" w:cs="Calibri"/>
          <w:b/>
          <w:bCs/>
          <w:color w:val="2E3192"/>
          <w:sz w:val="24"/>
          <w:szCs w:val="24"/>
        </w:rPr>
      </w:pPr>
      <w:r w:rsidRPr="742CE3E6">
        <w:rPr>
          <w:rFonts w:ascii="Calibri" w:eastAsia="Calibri" w:hAnsi="Calibri" w:cs="Calibri"/>
          <w:b/>
          <w:bCs/>
          <w:color w:val="2E3192"/>
          <w:sz w:val="24"/>
          <w:szCs w:val="24"/>
          <w:u w:val="single"/>
        </w:rPr>
        <w:t xml:space="preserve">Default </w:t>
      </w:r>
      <w:r w:rsidR="00682520">
        <w:rPr>
          <w:rFonts w:ascii="Calibri" w:eastAsia="Calibri" w:hAnsi="Calibri" w:cs="Calibri"/>
          <w:b/>
          <w:bCs/>
          <w:color w:val="2E3192"/>
          <w:sz w:val="24"/>
          <w:szCs w:val="24"/>
          <w:u w:val="single"/>
        </w:rPr>
        <w:t>Implementation</w:t>
      </w:r>
      <w:r w:rsidR="00682520" w:rsidRPr="742CE3E6">
        <w:rPr>
          <w:rFonts w:ascii="Calibri" w:eastAsia="Calibri" w:hAnsi="Calibri" w:cs="Calibri"/>
          <w:b/>
          <w:bCs/>
          <w:color w:val="2E3192"/>
          <w:sz w:val="24"/>
          <w:szCs w:val="24"/>
          <w:u w:val="single"/>
        </w:rPr>
        <w:t xml:space="preserve"> </w:t>
      </w:r>
      <w:r w:rsidR="002070F4" w:rsidRPr="742CE3E6">
        <w:rPr>
          <w:rFonts w:ascii="Calibri" w:eastAsia="Calibri" w:hAnsi="Calibri" w:cs="Calibri"/>
          <w:b/>
          <w:bCs/>
          <w:color w:val="2E3192"/>
          <w:sz w:val="24"/>
          <w:szCs w:val="24"/>
          <w:u w:val="single"/>
        </w:rPr>
        <w:t>Appl</w:t>
      </w:r>
      <w:r w:rsidR="00682520">
        <w:rPr>
          <w:rFonts w:ascii="Calibri" w:eastAsia="Calibri" w:hAnsi="Calibri" w:cs="Calibri"/>
          <w:b/>
          <w:bCs/>
          <w:color w:val="2E3192"/>
          <w:sz w:val="24"/>
          <w:szCs w:val="24"/>
          <w:u w:val="single"/>
        </w:rPr>
        <w:t>ies</w:t>
      </w:r>
      <w:r w:rsidR="00537F37">
        <w:rPr>
          <w:rFonts w:ascii="Calibri" w:eastAsia="Calibri" w:hAnsi="Calibri" w:cs="Calibri"/>
          <w:b/>
          <w:bCs/>
          <w:color w:val="2E3192"/>
          <w:sz w:val="24"/>
          <w:szCs w:val="24"/>
          <w:u w:val="single"/>
        </w:rPr>
        <w:br/>
      </w:r>
    </w:p>
    <w:p w14:paraId="7A2569DE" w14:textId="30D7204C" w:rsidR="00490463" w:rsidRPr="00567F66" w:rsidRDefault="0014033E" w:rsidP="00490463">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1</w:t>
      </w:r>
      <w:r w:rsidR="00490463">
        <w:rPr>
          <w:rFonts w:ascii="Calibri" w:eastAsia="Calibri" w:hAnsi="Calibri" w:cs="Calibri"/>
          <w:b/>
          <w:bCs/>
          <w:color w:val="2E3192"/>
        </w:rPr>
        <w:t>. Standard Operating Procedures</w:t>
      </w:r>
      <w:r w:rsidR="00567F66">
        <w:rPr>
          <w:rFonts w:ascii="Calibri" w:eastAsia="Calibri" w:hAnsi="Calibri" w:cs="Calibri"/>
          <w:b/>
          <w:bCs/>
          <w:color w:val="2E3192"/>
        </w:rPr>
        <w:t>:</w:t>
      </w:r>
      <w:r w:rsidR="006D608A">
        <w:rPr>
          <w:rFonts w:ascii="Calibri" w:eastAsia="Calibri" w:hAnsi="Calibri" w:cs="Calibri"/>
          <w:b/>
          <w:bCs/>
          <w:color w:val="2E3192"/>
        </w:rPr>
        <w:t xml:space="preserve"> SMART IRB SOPs Will Apply</w:t>
      </w:r>
    </w:p>
    <w:p w14:paraId="31AE3FB6" w14:textId="3C359C20" w:rsidR="0030617B" w:rsidRDefault="0030617B" w:rsidP="0030617B">
      <w:pPr>
        <w:pStyle w:val="paragraph"/>
        <w:spacing w:before="41" w:beforeAutospacing="0" w:after="0" w:afterAutospacing="0"/>
        <w:ind w:right="660"/>
        <w:textAlignment w:val="baseline"/>
        <w:rPr>
          <w:rStyle w:val="eop"/>
          <w:rFonts w:ascii="Calibri" w:hAnsi="Calibri" w:cs="Calibri"/>
          <w:sz w:val="22"/>
          <w:szCs w:val="22"/>
        </w:rPr>
      </w:pPr>
      <w:r>
        <w:rPr>
          <w:rStyle w:val="normaltextrun"/>
          <w:rFonts w:ascii="Calibri" w:hAnsi="Calibri" w:cs="Calibri"/>
          <w:sz w:val="22"/>
          <w:szCs w:val="22"/>
        </w:rPr>
        <w:t>The Participating Institutions will follow th</w:t>
      </w:r>
      <w:r w:rsidR="003C214B">
        <w:rPr>
          <w:rStyle w:val="normaltextrun"/>
          <w:rFonts w:ascii="Calibri" w:hAnsi="Calibri" w:cs="Calibri"/>
          <w:sz w:val="22"/>
          <w:szCs w:val="22"/>
        </w:rPr>
        <w:t xml:space="preserve">e </w:t>
      </w:r>
      <w:r w:rsidR="003C214B" w:rsidRPr="00077379">
        <w:rPr>
          <w:rFonts w:ascii="Calibri" w:hAnsi="Calibri" w:cs="Calibri"/>
          <w:sz w:val="22"/>
          <w:szCs w:val="22"/>
        </w:rPr>
        <w:t>SMART IRB SOPs</w:t>
      </w:r>
      <w:r>
        <w:rPr>
          <w:rStyle w:val="normaltextrun"/>
          <w:rFonts w:ascii="Calibri" w:hAnsi="Calibri" w:cs="Calibri"/>
          <w:color w:val="0462C1"/>
          <w:sz w:val="22"/>
          <w:szCs w:val="22"/>
        </w:rPr>
        <w:t xml:space="preserve"> </w:t>
      </w:r>
      <w:r>
        <w:rPr>
          <w:rStyle w:val="normaltextrun"/>
          <w:rFonts w:ascii="Calibri" w:hAnsi="Calibri" w:cs="Calibri"/>
          <w:sz w:val="22"/>
          <w:szCs w:val="22"/>
        </w:rPr>
        <w:t xml:space="preserve">with respect to the identified </w:t>
      </w:r>
      <w:r w:rsidR="007A25EC">
        <w:rPr>
          <w:rStyle w:val="normaltextrun"/>
          <w:rFonts w:ascii="Calibri" w:hAnsi="Calibri" w:cs="Calibri"/>
          <w:sz w:val="22"/>
          <w:szCs w:val="22"/>
        </w:rPr>
        <w:t>research.</w:t>
      </w:r>
      <w:r>
        <w:rPr>
          <w:rStyle w:val="eop"/>
          <w:rFonts w:ascii="Calibri" w:hAnsi="Calibri" w:cs="Calibri"/>
          <w:sz w:val="22"/>
          <w:szCs w:val="22"/>
        </w:rPr>
        <w:t> </w:t>
      </w:r>
    </w:p>
    <w:p w14:paraId="4B97B109" w14:textId="77777777" w:rsidR="0030617B" w:rsidRDefault="0030617B" w:rsidP="008D21A1">
      <w:pPr>
        <w:pStyle w:val="paragraph"/>
        <w:spacing w:before="41" w:beforeAutospacing="0" w:after="0" w:afterAutospacing="0"/>
        <w:ind w:right="660"/>
        <w:textAlignment w:val="baseline"/>
      </w:pPr>
    </w:p>
    <w:p w14:paraId="3EA59AA2" w14:textId="32415EB7" w:rsidR="003264EA" w:rsidRPr="00567F66" w:rsidRDefault="0014033E" w:rsidP="003264EA">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2</w:t>
      </w:r>
      <w:r w:rsidR="003264EA">
        <w:rPr>
          <w:rFonts w:ascii="Calibri" w:eastAsia="Calibri" w:hAnsi="Calibri" w:cs="Calibri"/>
          <w:b/>
          <w:bCs/>
          <w:color w:val="2E3192"/>
        </w:rPr>
        <w:t xml:space="preserve">. </w:t>
      </w:r>
      <w:r w:rsidR="00723622">
        <w:rPr>
          <w:rFonts w:ascii="Calibri" w:eastAsia="Calibri" w:hAnsi="Calibri" w:cs="Calibri"/>
          <w:b/>
          <w:bCs/>
          <w:color w:val="2E3192"/>
        </w:rPr>
        <w:t xml:space="preserve">(If HIPAA Applies) </w:t>
      </w:r>
      <w:r w:rsidR="00A07A0A">
        <w:rPr>
          <w:rFonts w:ascii="Calibri" w:eastAsia="Calibri" w:hAnsi="Calibri" w:cs="Calibri"/>
          <w:b/>
          <w:bCs/>
          <w:color w:val="2E3192"/>
        </w:rPr>
        <w:t>HIPAA Determinations and Actions</w:t>
      </w:r>
      <w:r w:rsidR="00567F66">
        <w:rPr>
          <w:rFonts w:ascii="Calibri" w:eastAsia="Calibri" w:hAnsi="Calibri" w:cs="Calibri"/>
          <w:b/>
          <w:bCs/>
          <w:color w:val="2E3192"/>
        </w:rPr>
        <w:t>:</w:t>
      </w:r>
      <w:r w:rsidR="008566DF">
        <w:rPr>
          <w:rFonts w:ascii="Calibri" w:eastAsia="Calibri" w:hAnsi="Calibri" w:cs="Calibri"/>
          <w:b/>
          <w:bCs/>
          <w:color w:val="2E3192"/>
        </w:rPr>
        <w:t xml:space="preserve"> </w:t>
      </w:r>
      <w:r w:rsidR="00723622">
        <w:rPr>
          <w:rFonts w:ascii="Calibri" w:eastAsia="Calibri" w:hAnsi="Calibri" w:cs="Calibri"/>
          <w:b/>
          <w:bCs/>
          <w:color w:val="2E3192"/>
        </w:rPr>
        <w:t>Relying Institution</w:t>
      </w:r>
      <w:r w:rsidR="008566DF">
        <w:rPr>
          <w:rFonts w:ascii="Calibri" w:eastAsia="Calibri" w:hAnsi="Calibri" w:cs="Calibri"/>
          <w:b/>
          <w:bCs/>
          <w:color w:val="2E3192"/>
        </w:rPr>
        <w:t xml:space="preserve"> Will Provide </w:t>
      </w:r>
      <w:r w:rsidR="00723622">
        <w:rPr>
          <w:rFonts w:ascii="Calibri" w:eastAsia="Calibri" w:hAnsi="Calibri" w:cs="Calibri"/>
          <w:b/>
          <w:bCs/>
          <w:color w:val="2E3192"/>
        </w:rPr>
        <w:t>Determination</w:t>
      </w:r>
    </w:p>
    <w:p w14:paraId="6537F60C" w14:textId="33662744" w:rsidR="00537F37" w:rsidRPr="008155FD" w:rsidRDefault="00723622" w:rsidP="003264EA">
      <w:pPr>
        <w:rPr>
          <w:bCs/>
        </w:rPr>
      </w:pPr>
      <w:r w:rsidRPr="00723622">
        <w:rPr>
          <w:bCs/>
        </w:rPr>
        <w:t>The Relying Institution or a third party named by Relying Institution will make any HIPAA determinations or perform any HIPAA Actions in connection with the research.</w:t>
      </w:r>
      <w:r w:rsidR="008D21A1">
        <w:rPr>
          <w:rStyle w:val="eop"/>
          <w:rFonts w:ascii="Calibri" w:hAnsi="Calibri" w:cs="Calibri"/>
        </w:rPr>
        <w:br/>
      </w:r>
      <w:r w:rsidR="008D21A1">
        <w:rPr>
          <w:rStyle w:val="eop"/>
          <w:rFonts w:ascii="Calibri" w:hAnsi="Calibri" w:cs="Calibri"/>
        </w:rPr>
        <w:br/>
      </w:r>
      <w:r w:rsidR="0014033E">
        <w:rPr>
          <w:rFonts w:ascii="Calibri" w:eastAsia="Calibri" w:hAnsi="Calibri" w:cs="Calibri"/>
          <w:b/>
          <w:bCs/>
          <w:color w:val="2E3192"/>
          <w:sz w:val="24"/>
          <w:szCs w:val="24"/>
        </w:rPr>
        <w:t>3</w:t>
      </w:r>
      <w:r w:rsidR="003264EA" w:rsidRPr="00E658B0">
        <w:rPr>
          <w:rFonts w:ascii="Calibri" w:eastAsia="Calibri" w:hAnsi="Calibri" w:cs="Calibri"/>
          <w:b/>
          <w:bCs/>
          <w:color w:val="2E3192"/>
          <w:sz w:val="24"/>
          <w:szCs w:val="24"/>
        </w:rPr>
        <w:t xml:space="preserve">. </w:t>
      </w:r>
      <w:r>
        <w:rPr>
          <w:rFonts w:ascii="Calibri" w:eastAsia="Calibri" w:hAnsi="Calibri" w:cs="Calibri"/>
          <w:b/>
          <w:bCs/>
          <w:color w:val="2E3192"/>
          <w:sz w:val="24"/>
          <w:szCs w:val="24"/>
        </w:rPr>
        <w:t xml:space="preserve">(If HIPAA Applies) </w:t>
      </w:r>
      <w:r w:rsidR="00A07A0A" w:rsidRPr="00E658B0">
        <w:rPr>
          <w:rFonts w:ascii="Calibri" w:eastAsia="Calibri" w:hAnsi="Calibri" w:cs="Calibri"/>
          <w:b/>
          <w:bCs/>
          <w:color w:val="2E3192"/>
          <w:sz w:val="24"/>
          <w:szCs w:val="24"/>
        </w:rPr>
        <w:t>HIPAA Authorization Language and Consent Forms</w:t>
      </w:r>
      <w:r w:rsidR="008566DF" w:rsidRPr="00E658B0">
        <w:rPr>
          <w:rFonts w:ascii="Calibri" w:eastAsia="Calibri" w:hAnsi="Calibri" w:cs="Calibri"/>
          <w:b/>
          <w:bCs/>
          <w:color w:val="2E3192"/>
          <w:sz w:val="24"/>
          <w:szCs w:val="24"/>
        </w:rPr>
        <w:t xml:space="preserve">: Relying Institution Will Provide </w:t>
      </w:r>
      <w:r w:rsidR="005B1FF0">
        <w:rPr>
          <w:rFonts w:ascii="Calibri" w:hAnsi="Calibri" w:cs="Calibri"/>
        </w:rPr>
        <w:br/>
      </w:r>
      <w:r w:rsidR="00672E6F">
        <w:rPr>
          <w:rStyle w:val="normaltextrun"/>
          <w:rFonts w:ascii="Calibri" w:hAnsi="Calibri" w:cs="Calibri"/>
        </w:rPr>
        <w:t xml:space="preserve">If </w:t>
      </w:r>
      <w:r w:rsidR="008155FD">
        <w:rPr>
          <w:rStyle w:val="normaltextrun"/>
          <w:rFonts w:ascii="Calibri" w:hAnsi="Calibri" w:cs="Calibri"/>
        </w:rPr>
        <w:t>HIPAA applies</w:t>
      </w:r>
      <w:r w:rsidR="00672E6F">
        <w:rPr>
          <w:rStyle w:val="normaltextrun"/>
          <w:rFonts w:ascii="Calibri" w:hAnsi="Calibri" w:cs="Calibri"/>
        </w:rPr>
        <w:t>, t</w:t>
      </w:r>
      <w:r w:rsidR="003264EA">
        <w:rPr>
          <w:rStyle w:val="normaltextrun"/>
          <w:rFonts w:ascii="Calibri" w:hAnsi="Calibri" w:cs="Calibri"/>
        </w:rPr>
        <w:t xml:space="preserve">he </w:t>
      </w:r>
      <w:r w:rsidR="008528EC">
        <w:rPr>
          <w:rStyle w:val="normaltextrun"/>
          <w:rFonts w:ascii="Calibri" w:hAnsi="Calibri" w:cs="Calibri"/>
        </w:rPr>
        <w:t>Relying Institution</w:t>
      </w:r>
      <w:r w:rsidR="003264EA">
        <w:rPr>
          <w:rStyle w:val="normaltextrun"/>
          <w:rFonts w:ascii="Calibri" w:hAnsi="Calibri" w:cs="Calibri"/>
        </w:rPr>
        <w:t xml:space="preserve"> </w:t>
      </w:r>
      <w:proofErr w:type="gramStart"/>
      <w:r w:rsidR="008155FD">
        <w:rPr>
          <w:rStyle w:val="normaltextrun"/>
          <w:rFonts w:ascii="Calibri" w:hAnsi="Calibri" w:cs="Calibri"/>
        </w:rPr>
        <w:t>provide</w:t>
      </w:r>
      <w:proofErr w:type="gramEnd"/>
      <w:r w:rsidR="008155FD">
        <w:rPr>
          <w:rStyle w:val="normaltextrun"/>
          <w:rFonts w:ascii="Calibri" w:hAnsi="Calibri" w:cs="Calibri"/>
        </w:rPr>
        <w:t xml:space="preserve"> the Reviewing IRB with its own HIPAA language to be inserted into the informed consent document(s), or the Relying Institution will provide a separate HIPAA Authorization. </w:t>
      </w:r>
      <w:r w:rsidR="008155FD" w:rsidRPr="00F60B53">
        <w:rPr>
          <w:bCs/>
        </w:rPr>
        <w:t xml:space="preserve">The Reviewing IRB is under no obligation to ensure HIPAA Authorization language </w:t>
      </w:r>
      <w:proofErr w:type="gramStart"/>
      <w:r w:rsidR="008155FD" w:rsidRPr="00F60B53">
        <w:rPr>
          <w:bCs/>
        </w:rPr>
        <w:t>meet</w:t>
      </w:r>
      <w:proofErr w:type="gramEnd"/>
      <w:r w:rsidR="008155FD" w:rsidRPr="00F60B53">
        <w:rPr>
          <w:bCs/>
        </w:rPr>
        <w:t xml:space="preserve"> the requirements of 45 CFR 164.508(b) and (c).</w:t>
      </w:r>
    </w:p>
    <w:p w14:paraId="186EFE59" w14:textId="53193EE6" w:rsidR="003264EA" w:rsidRPr="00567F66" w:rsidRDefault="0014033E" w:rsidP="003264EA">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4</w:t>
      </w:r>
      <w:r w:rsidR="003264EA">
        <w:rPr>
          <w:rFonts w:ascii="Calibri" w:eastAsia="Calibri" w:hAnsi="Calibri" w:cs="Calibri"/>
          <w:b/>
          <w:bCs/>
          <w:color w:val="2E3192"/>
        </w:rPr>
        <w:t xml:space="preserve">. </w:t>
      </w:r>
      <w:r w:rsidR="00A07A0A">
        <w:rPr>
          <w:rFonts w:ascii="Calibri" w:eastAsia="Calibri" w:hAnsi="Calibri" w:cs="Calibri"/>
          <w:b/>
          <w:bCs/>
          <w:color w:val="2E3192"/>
        </w:rPr>
        <w:t>Conflicts of Interest</w:t>
      </w:r>
      <w:r w:rsidR="00567F66">
        <w:rPr>
          <w:rFonts w:ascii="Calibri" w:eastAsia="Calibri" w:hAnsi="Calibri" w:cs="Calibri"/>
          <w:b/>
          <w:bCs/>
          <w:color w:val="2E3192"/>
        </w:rPr>
        <w:t>:</w:t>
      </w:r>
      <w:r w:rsidR="00A469CD">
        <w:rPr>
          <w:rFonts w:ascii="Calibri" w:eastAsia="Calibri" w:hAnsi="Calibri" w:cs="Calibri"/>
          <w:b/>
          <w:bCs/>
          <w:color w:val="2E3192"/>
        </w:rPr>
        <w:t xml:space="preserve"> Relying Institution Will Perform Conflict of Interest Analyses Under Their Policies</w:t>
      </w:r>
    </w:p>
    <w:p w14:paraId="70E45520" w14:textId="54D436FE" w:rsidR="00BD6C3A" w:rsidRDefault="00B472C5" w:rsidP="00B472C5">
      <w:pPr>
        <w:pStyle w:val="paragraph"/>
        <w:spacing w:before="0" w:beforeAutospacing="0" w:after="0" w:afterAutospacing="0"/>
        <w:ind w:right="240"/>
        <w:textAlignment w:val="baseline"/>
      </w:pPr>
      <w:r w:rsidRPr="00B472C5">
        <w:rPr>
          <w:rStyle w:val="normaltextrun"/>
          <w:rFonts w:ascii="Calibri" w:hAnsi="Calibri" w:cs="Calibri"/>
          <w:sz w:val="22"/>
          <w:szCs w:val="22"/>
        </w:rPr>
        <w:t xml:space="preserve">The Relying Institution will perform their own analyses under their relevant </w:t>
      </w:r>
      <w:proofErr w:type="gramStart"/>
      <w:r w:rsidR="00723246" w:rsidRPr="00B472C5">
        <w:rPr>
          <w:rStyle w:val="normaltextrun"/>
          <w:rFonts w:ascii="Calibri" w:hAnsi="Calibri" w:cs="Calibri"/>
          <w:sz w:val="22"/>
          <w:szCs w:val="22"/>
        </w:rPr>
        <w:t>policy</w:t>
      </w:r>
      <w:r w:rsidR="008155FD">
        <w:rPr>
          <w:rStyle w:val="normaltextrun"/>
          <w:rFonts w:ascii="Calibri" w:hAnsi="Calibri" w:cs="Calibri"/>
          <w:sz w:val="22"/>
          <w:szCs w:val="22"/>
        </w:rPr>
        <w:t>(</w:t>
      </w:r>
      <w:proofErr w:type="spellStart"/>
      <w:r w:rsidR="008155FD">
        <w:rPr>
          <w:rStyle w:val="normaltextrun"/>
          <w:rFonts w:ascii="Calibri" w:hAnsi="Calibri" w:cs="Calibri"/>
          <w:sz w:val="22"/>
          <w:szCs w:val="22"/>
        </w:rPr>
        <w:t>ies</w:t>
      </w:r>
      <w:proofErr w:type="spellEnd"/>
      <w:r w:rsidR="008155FD">
        <w:rPr>
          <w:rStyle w:val="normaltextrun"/>
          <w:rFonts w:ascii="Calibri" w:hAnsi="Calibri" w:cs="Calibri"/>
          <w:sz w:val="22"/>
          <w:szCs w:val="22"/>
        </w:rPr>
        <w:t>)</w:t>
      </w:r>
      <w:proofErr w:type="gramEnd"/>
      <w:r w:rsidR="00723246" w:rsidRPr="00B472C5">
        <w:rPr>
          <w:rStyle w:val="normaltextrun"/>
          <w:rFonts w:ascii="Calibri" w:hAnsi="Calibri" w:cs="Calibri"/>
          <w:sz w:val="22"/>
          <w:szCs w:val="22"/>
        </w:rPr>
        <w:t xml:space="preserve"> with</w:t>
      </w:r>
      <w:r w:rsidRPr="00B472C5">
        <w:rPr>
          <w:rStyle w:val="normaltextrun"/>
          <w:rFonts w:ascii="Calibri" w:hAnsi="Calibri" w:cs="Calibri"/>
          <w:sz w:val="22"/>
          <w:szCs w:val="22"/>
        </w:rPr>
        <w:t xml:space="preserve"> respect to disclosure and management of their Research Personnel’s conflicts of interest in connection with the identified </w:t>
      </w:r>
      <w:r w:rsidR="00166DE5">
        <w:rPr>
          <w:rStyle w:val="normaltextrun"/>
          <w:rFonts w:ascii="Calibri" w:hAnsi="Calibri" w:cs="Calibri"/>
          <w:sz w:val="22"/>
          <w:szCs w:val="22"/>
        </w:rPr>
        <w:t>research</w:t>
      </w:r>
      <w:r w:rsidRPr="00B472C5">
        <w:rPr>
          <w:rStyle w:val="normaltextrun"/>
          <w:rFonts w:ascii="Calibri" w:hAnsi="Calibri" w:cs="Calibri"/>
          <w:sz w:val="22"/>
          <w:szCs w:val="22"/>
        </w:rPr>
        <w:t xml:space="preserve">. The </w:t>
      </w:r>
      <w:r w:rsidR="004014DC">
        <w:rPr>
          <w:rStyle w:val="normaltextrun"/>
          <w:rFonts w:ascii="Calibri" w:hAnsi="Calibri" w:cs="Calibri"/>
          <w:sz w:val="22"/>
          <w:szCs w:val="22"/>
        </w:rPr>
        <w:lastRenderedPageBreak/>
        <w:t>Reviewing IRB</w:t>
      </w:r>
      <w:r w:rsidRPr="00B472C5">
        <w:rPr>
          <w:rStyle w:val="normaltextrun"/>
          <w:rFonts w:ascii="Calibri" w:hAnsi="Calibri" w:cs="Calibri"/>
          <w:sz w:val="22"/>
          <w:szCs w:val="22"/>
        </w:rPr>
        <w:t xml:space="preserve"> </w:t>
      </w:r>
      <w:r w:rsidR="00BD6C3A">
        <w:rPr>
          <w:rStyle w:val="normaltextrun"/>
          <w:rFonts w:ascii="Calibri" w:hAnsi="Calibri" w:cs="Calibri"/>
          <w:sz w:val="22"/>
          <w:szCs w:val="22"/>
        </w:rPr>
        <w:t>may</w:t>
      </w:r>
      <w:r w:rsidRPr="00B472C5">
        <w:rPr>
          <w:rStyle w:val="normaltextrun"/>
          <w:rFonts w:ascii="Calibri" w:hAnsi="Calibri" w:cs="Calibri"/>
          <w:sz w:val="22"/>
          <w:szCs w:val="22"/>
        </w:rPr>
        <w:t xml:space="preserve"> impose additional prohibitions or conflict management requirements.</w:t>
      </w:r>
      <w:r w:rsidRPr="00B472C5">
        <w:rPr>
          <w:rStyle w:val="eop"/>
          <w:rFonts w:ascii="Calibri" w:hAnsi="Calibri" w:cs="Calibri"/>
          <w:sz w:val="22"/>
          <w:szCs w:val="22"/>
        </w:rPr>
        <w:t> </w:t>
      </w:r>
      <w:r>
        <w:rPr>
          <w:rStyle w:val="eop"/>
          <w:rFonts w:ascii="Calibri" w:hAnsi="Calibri" w:cs="Calibri"/>
          <w:sz w:val="22"/>
          <w:szCs w:val="22"/>
        </w:rPr>
        <w:br/>
      </w:r>
    </w:p>
    <w:p w14:paraId="149F5B71" w14:textId="26264124" w:rsidR="0004752D" w:rsidRDefault="0014033E" w:rsidP="0004752D">
      <w:pPr>
        <w:pStyle w:val="paragraph"/>
        <w:spacing w:before="46" w:beforeAutospacing="0" w:after="0" w:afterAutospacing="0"/>
        <w:textAlignment w:val="baseline"/>
        <w:rPr>
          <w:rFonts w:ascii="Calibri" w:hAnsi="Calibri" w:cs="Calibri"/>
          <w:b/>
          <w:bCs/>
          <w:sz w:val="22"/>
          <w:szCs w:val="22"/>
        </w:rPr>
      </w:pPr>
      <w:r>
        <w:rPr>
          <w:rFonts w:ascii="Calibri" w:eastAsia="Calibri" w:hAnsi="Calibri" w:cs="Calibri"/>
          <w:b/>
          <w:bCs/>
          <w:color w:val="2E3192"/>
        </w:rPr>
        <w:t>5</w:t>
      </w:r>
      <w:r w:rsidR="003264EA">
        <w:rPr>
          <w:rFonts w:ascii="Calibri" w:eastAsia="Calibri" w:hAnsi="Calibri" w:cs="Calibri"/>
          <w:b/>
          <w:bCs/>
          <w:color w:val="2E3192"/>
        </w:rPr>
        <w:t xml:space="preserve">. </w:t>
      </w:r>
      <w:r w:rsidR="00010D31">
        <w:rPr>
          <w:rFonts w:ascii="Calibri" w:eastAsia="Calibri" w:hAnsi="Calibri" w:cs="Calibri"/>
          <w:b/>
          <w:bCs/>
          <w:color w:val="2E3192"/>
        </w:rPr>
        <w:t xml:space="preserve">For-Cause </w:t>
      </w:r>
      <w:r w:rsidR="002F6F06">
        <w:rPr>
          <w:rFonts w:ascii="Calibri" w:eastAsia="Calibri" w:hAnsi="Calibri" w:cs="Calibri"/>
          <w:b/>
          <w:bCs/>
          <w:color w:val="2E3192"/>
        </w:rPr>
        <w:t>Audits:</w:t>
      </w:r>
      <w:r w:rsidR="007A7DE3">
        <w:rPr>
          <w:rFonts w:ascii="Calibri" w:eastAsia="Calibri" w:hAnsi="Calibri" w:cs="Calibri"/>
          <w:b/>
          <w:bCs/>
          <w:color w:val="2E3192"/>
        </w:rPr>
        <w:t xml:space="preserve"> Reviewing IRB Will Conduct Any IRB-Initiated, For-Cause Audits or Investigations</w:t>
      </w:r>
    </w:p>
    <w:p w14:paraId="4BE0CEA9" w14:textId="353E4945" w:rsidR="008155FD" w:rsidRDefault="00EE29E0" w:rsidP="008155FD">
      <w:pPr>
        <w:pStyle w:val="paragraph"/>
        <w:spacing w:before="46" w:beforeAutospacing="0" w:after="0" w:afterAutospacing="0"/>
        <w:textAlignment w:val="baseline"/>
        <w:rPr>
          <w:rFonts w:ascii="Calibri" w:hAnsi="Calibri" w:cs="Calibri"/>
          <w:b/>
          <w:bCs/>
          <w:sz w:val="22"/>
          <w:szCs w:val="22"/>
        </w:rPr>
      </w:pPr>
      <w:r>
        <w:rPr>
          <w:rStyle w:val="normaltextrun"/>
          <w:rFonts w:ascii="Calibri" w:hAnsi="Calibri" w:cs="Calibri"/>
          <w:sz w:val="22"/>
          <w:szCs w:val="22"/>
        </w:rPr>
        <w:t xml:space="preserve">The Reviewing IRB will conduct any audits or investigations it </w:t>
      </w:r>
      <w:proofErr w:type="gramStart"/>
      <w:r>
        <w:rPr>
          <w:rStyle w:val="normaltextrun"/>
          <w:rFonts w:ascii="Calibri" w:hAnsi="Calibri" w:cs="Calibri"/>
          <w:sz w:val="22"/>
          <w:szCs w:val="22"/>
        </w:rPr>
        <w:t>initiates of</w:t>
      </w:r>
      <w:proofErr w:type="gramEnd"/>
      <w:r>
        <w:rPr>
          <w:rStyle w:val="normaltextrun"/>
          <w:rFonts w:ascii="Calibri" w:hAnsi="Calibri" w:cs="Calibri"/>
          <w:sz w:val="22"/>
          <w:szCs w:val="22"/>
        </w:rPr>
        <w:t xml:space="preserve"> matters relating to the Ceded Review of the identified </w:t>
      </w:r>
      <w:r w:rsidR="00166DE5">
        <w:rPr>
          <w:rStyle w:val="normaltextrun"/>
          <w:rFonts w:ascii="Calibri" w:hAnsi="Calibri" w:cs="Calibri"/>
          <w:sz w:val="22"/>
          <w:szCs w:val="22"/>
        </w:rPr>
        <w:t>research.</w:t>
      </w:r>
      <w:r>
        <w:rPr>
          <w:rStyle w:val="eop"/>
          <w:rFonts w:ascii="Calibri" w:hAnsi="Calibri" w:cs="Calibri"/>
          <w:sz w:val="22"/>
          <w:szCs w:val="22"/>
        </w:rPr>
        <w:t> </w:t>
      </w:r>
      <w:r w:rsidR="008D08AA">
        <w:rPr>
          <w:rStyle w:val="eop"/>
          <w:rFonts w:ascii="Calibri" w:hAnsi="Calibri" w:cs="Calibri"/>
          <w:sz w:val="22"/>
          <w:szCs w:val="22"/>
        </w:rPr>
        <w:t xml:space="preserve"> </w:t>
      </w:r>
      <w:r w:rsidR="008155FD">
        <w:rPr>
          <w:rStyle w:val="eop"/>
          <w:rFonts w:ascii="Calibri" w:hAnsi="Calibri" w:cs="Calibri"/>
          <w:sz w:val="22"/>
          <w:szCs w:val="22"/>
        </w:rPr>
        <w:br/>
      </w:r>
      <w:r w:rsidR="008155FD">
        <w:rPr>
          <w:rStyle w:val="eop"/>
          <w:rFonts w:ascii="Calibri" w:hAnsi="Calibri" w:cs="Calibri"/>
          <w:sz w:val="22"/>
          <w:szCs w:val="22"/>
        </w:rPr>
        <w:br/>
      </w:r>
      <w:r w:rsidR="008155FD">
        <w:rPr>
          <w:rFonts w:ascii="Calibri" w:eastAsia="Calibri" w:hAnsi="Calibri" w:cs="Calibri"/>
          <w:b/>
          <w:bCs/>
          <w:color w:val="2E3192"/>
        </w:rPr>
        <w:t>6. IRB Notifications (of Decisions, Changes, Lapses in Approval, Problems, Noncompliance)</w:t>
      </w:r>
    </w:p>
    <w:p w14:paraId="07D1348C" w14:textId="1E94BF25" w:rsidR="00EE29E0" w:rsidRPr="0004752D" w:rsidRDefault="008155FD" w:rsidP="0004752D">
      <w:pPr>
        <w:pStyle w:val="paragraph"/>
        <w:spacing w:before="46" w:beforeAutospacing="0" w:after="0" w:afterAutospacing="0"/>
        <w:textAlignment w:val="baseline"/>
        <w:rPr>
          <w:rFonts w:ascii="Calibri" w:hAnsi="Calibri" w:cs="Calibri"/>
          <w:b/>
          <w:bCs/>
          <w:sz w:val="22"/>
          <w:szCs w:val="22"/>
        </w:rPr>
      </w:pPr>
      <w:r w:rsidRPr="008155FD">
        <w:rPr>
          <w:rStyle w:val="eop"/>
          <w:rFonts w:ascii="Calibri" w:hAnsi="Calibri" w:cs="Calibri"/>
          <w:sz w:val="22"/>
          <w:szCs w:val="22"/>
        </w:rPr>
        <w:t>The Reviewing IRB will notify the Overall PI, Site Investigator(s) and Relying Institution(s) of decisions, changes, lapses in approval, problems, and non-compliance.</w:t>
      </w:r>
      <w:r w:rsidR="00CC5F57">
        <w:rPr>
          <w:rStyle w:val="eop"/>
          <w:rFonts w:ascii="Calibri" w:hAnsi="Calibri" w:cs="Calibri"/>
          <w:sz w:val="22"/>
          <w:szCs w:val="22"/>
        </w:rPr>
        <w:br/>
      </w:r>
    </w:p>
    <w:p w14:paraId="04D20021" w14:textId="0CE8BEFF" w:rsidR="00CC5F57" w:rsidRPr="00253FCE" w:rsidRDefault="008155FD" w:rsidP="0030139F">
      <w:pPr>
        <w:pStyle w:val="paragraph"/>
        <w:spacing w:before="46" w:beforeAutospacing="0" w:after="0" w:afterAutospacing="0"/>
        <w:textAlignment w:val="baseline"/>
        <w:rPr>
          <w:rFonts w:ascii="Calibri" w:eastAsia="Calibri" w:hAnsi="Calibri"/>
          <w:color w:val="000000"/>
        </w:rPr>
      </w:pPr>
      <w:r>
        <w:rPr>
          <w:rFonts w:ascii="Calibri" w:eastAsia="Calibri" w:hAnsi="Calibri" w:cs="Calibri"/>
          <w:b/>
          <w:bCs/>
          <w:color w:val="2E3192"/>
        </w:rPr>
        <w:t>7</w:t>
      </w:r>
      <w:r w:rsidR="003264EA" w:rsidRPr="742CE3E6">
        <w:rPr>
          <w:rFonts w:ascii="Calibri" w:eastAsia="Calibri" w:hAnsi="Calibri" w:cs="Calibri"/>
          <w:b/>
          <w:bCs/>
          <w:color w:val="2E3192"/>
        </w:rPr>
        <w:t xml:space="preserve">. </w:t>
      </w:r>
      <w:r w:rsidR="00A07A0A" w:rsidRPr="742CE3E6">
        <w:rPr>
          <w:rFonts w:ascii="Calibri" w:eastAsia="Calibri" w:hAnsi="Calibri" w:cs="Calibri"/>
          <w:b/>
          <w:bCs/>
          <w:color w:val="2E3192"/>
        </w:rPr>
        <w:t>IRB-Initiated External Reporti</w:t>
      </w:r>
      <w:r w:rsidR="00977BC5" w:rsidRPr="742CE3E6">
        <w:rPr>
          <w:rFonts w:ascii="Calibri" w:eastAsia="Calibri" w:hAnsi="Calibri" w:cs="Calibri"/>
          <w:b/>
          <w:bCs/>
          <w:color w:val="2E3192"/>
        </w:rPr>
        <w:t>ng: Reviewing IRB Will Provide Notification</w:t>
      </w:r>
      <w:r w:rsidR="0014033E">
        <w:br/>
      </w:r>
      <w:r w:rsidR="003264EA" w:rsidRPr="742CE3E6">
        <w:rPr>
          <w:rStyle w:val="normaltextrun"/>
          <w:rFonts w:ascii="Calibri" w:hAnsi="Calibri" w:cs="Calibri"/>
          <w:sz w:val="22"/>
          <w:szCs w:val="22"/>
        </w:rPr>
        <w:t xml:space="preserve">The </w:t>
      </w:r>
      <w:r w:rsidR="00AD136F" w:rsidRPr="742CE3E6">
        <w:rPr>
          <w:rFonts w:ascii="Calibri" w:eastAsia="Calibri" w:hAnsi="Calibri"/>
          <w:color w:val="000000" w:themeColor="text1"/>
          <w:sz w:val="22"/>
          <w:szCs w:val="22"/>
        </w:rPr>
        <w:t>Reviewing IRB/Reviewing IRB Institution will draft</w:t>
      </w:r>
      <w:r w:rsidR="000251E2" w:rsidRPr="742CE3E6">
        <w:rPr>
          <w:rFonts w:ascii="Calibri" w:eastAsia="Calibri" w:hAnsi="Calibri"/>
          <w:color w:val="000000" w:themeColor="text1"/>
          <w:sz w:val="22"/>
          <w:szCs w:val="22"/>
        </w:rPr>
        <w:t xml:space="preserve"> external reports to federal human subjects research regulatory authorities</w:t>
      </w:r>
      <w:r w:rsidR="00D12CFA" w:rsidRPr="742CE3E6">
        <w:rPr>
          <w:rFonts w:ascii="Calibri" w:eastAsia="Calibri" w:hAnsi="Calibri"/>
          <w:color w:val="000000" w:themeColor="text1"/>
          <w:sz w:val="22"/>
          <w:szCs w:val="22"/>
        </w:rPr>
        <w:t xml:space="preserve"> regarding </w:t>
      </w:r>
      <w:r w:rsidR="009D3543" w:rsidRPr="742CE3E6">
        <w:rPr>
          <w:rFonts w:ascii="Calibri" w:eastAsia="Calibri" w:hAnsi="Calibri"/>
          <w:sz w:val="22"/>
          <w:szCs w:val="22"/>
        </w:rPr>
        <w:t>unanticipated problems involving risks to human subjects or others; serious and/or continuing noncompliance with the Federal Policy, other applicable federal human subjects protection regulations or policies, and/or the FDA Clinical Investigation Regulations, as applicable, or with the requirements or determinations of the Reviewing IRB; and/or any suspensions or terminations of IRB approval</w:t>
      </w:r>
      <w:r w:rsidR="009D3543" w:rsidRPr="742CE3E6">
        <w:rPr>
          <w:rFonts w:ascii="Calibri" w:eastAsia="Calibri" w:hAnsi="Calibri"/>
          <w:color w:val="000000" w:themeColor="text1"/>
          <w:sz w:val="22"/>
          <w:szCs w:val="22"/>
        </w:rPr>
        <w:t xml:space="preserve">. The Relying institution </w:t>
      </w:r>
      <w:r w:rsidR="006E79C7" w:rsidRPr="742CE3E6">
        <w:rPr>
          <w:rFonts w:ascii="Calibri" w:eastAsia="Calibri" w:hAnsi="Calibri"/>
          <w:color w:val="000000" w:themeColor="text1"/>
          <w:sz w:val="22"/>
          <w:szCs w:val="22"/>
        </w:rPr>
        <w:t>will have the opportunity (no fewer than five (5) business days, whenever possible) to review and comment on the draft report before it is sent to external recipient(s).</w:t>
      </w:r>
      <w:r w:rsidR="0014033E">
        <w:br/>
      </w:r>
    </w:p>
    <w:p w14:paraId="0FFF59EA" w14:textId="42A5ED59" w:rsidR="003264EA" w:rsidRPr="0030139F" w:rsidRDefault="008155FD" w:rsidP="0030139F">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8</w:t>
      </w:r>
      <w:r w:rsidR="00CC5F57">
        <w:rPr>
          <w:rFonts w:ascii="Calibri" w:eastAsia="Calibri" w:hAnsi="Calibri" w:cs="Calibri"/>
          <w:b/>
          <w:bCs/>
          <w:color w:val="2E3192"/>
        </w:rPr>
        <w:t xml:space="preserve">. </w:t>
      </w:r>
      <w:r w:rsidR="00A07A0A" w:rsidRPr="0030139F">
        <w:rPr>
          <w:rFonts w:ascii="Calibri" w:eastAsia="Calibri" w:hAnsi="Calibri" w:cs="Calibri"/>
          <w:b/>
          <w:bCs/>
          <w:color w:val="2E3192"/>
        </w:rPr>
        <w:t>Congruence of Federal Grant Applications/Contract Proposals</w:t>
      </w:r>
      <w:r w:rsidR="00567F66" w:rsidRPr="0030139F">
        <w:rPr>
          <w:rFonts w:ascii="Calibri" w:eastAsia="Calibri" w:hAnsi="Calibri" w:cs="Calibri"/>
          <w:b/>
          <w:bCs/>
          <w:color w:val="2E3192"/>
        </w:rPr>
        <w:t>:</w:t>
      </w:r>
      <w:r w:rsidR="00977BC5" w:rsidRPr="0030139F">
        <w:rPr>
          <w:rFonts w:ascii="Calibri" w:eastAsia="Calibri" w:hAnsi="Calibri" w:cs="Calibri"/>
          <w:b/>
          <w:bCs/>
          <w:color w:val="2E3192"/>
        </w:rPr>
        <w:t xml:space="preserve"> Reviewing IRB Will Provide Notification</w:t>
      </w:r>
      <w:r w:rsidR="00567F66">
        <w:rPr>
          <w:rFonts w:ascii="Calibri" w:eastAsia="Calibri" w:hAnsi="Calibri" w:cs="Calibri"/>
          <w:b/>
          <w:bCs/>
          <w:color w:val="2E3192"/>
        </w:rPr>
        <w:t xml:space="preserve"> </w:t>
      </w:r>
      <w:r w:rsidR="003264EA">
        <w:br/>
      </w:r>
      <w:r w:rsidR="0015300E">
        <w:rPr>
          <w:rStyle w:val="normaltextrun"/>
          <w:rFonts w:ascii="Calibri" w:hAnsi="Calibri" w:cs="Calibri"/>
          <w:sz w:val="22"/>
          <w:szCs w:val="22"/>
        </w:rPr>
        <w:t xml:space="preserve">The Reviewing IRB will review the congruence of any federal grant application(s) or contract proposal(s) supporting the identified </w:t>
      </w:r>
      <w:r w:rsidR="00166DE5">
        <w:rPr>
          <w:rStyle w:val="normaltextrun"/>
          <w:rFonts w:ascii="Calibri" w:hAnsi="Calibri" w:cs="Calibri"/>
          <w:sz w:val="22"/>
          <w:szCs w:val="22"/>
        </w:rPr>
        <w:t>research</w:t>
      </w:r>
      <w:r w:rsidR="0015300E">
        <w:rPr>
          <w:rStyle w:val="normaltextrun"/>
          <w:rFonts w:ascii="Calibri" w:hAnsi="Calibri" w:cs="Calibri"/>
          <w:sz w:val="22"/>
          <w:szCs w:val="22"/>
        </w:rPr>
        <w:t xml:space="preserve"> submitted to the IRB (when required by federal regulations or oversight agencies).</w:t>
      </w:r>
      <w:r w:rsidR="0015300E">
        <w:rPr>
          <w:rStyle w:val="eop"/>
          <w:rFonts w:ascii="Calibri" w:hAnsi="Calibri" w:cs="Calibri"/>
          <w:sz w:val="22"/>
          <w:szCs w:val="22"/>
        </w:rPr>
        <w:t> </w:t>
      </w:r>
      <w:r w:rsidR="0015300E">
        <w:rPr>
          <w:rStyle w:val="eop"/>
          <w:rFonts w:ascii="Calibri" w:hAnsi="Calibri" w:cs="Calibri"/>
          <w:sz w:val="22"/>
          <w:szCs w:val="22"/>
        </w:rPr>
        <w:br/>
      </w:r>
    </w:p>
    <w:p w14:paraId="28ACBA2A" w14:textId="7D503627" w:rsidR="00836FB8" w:rsidRPr="00567F66" w:rsidRDefault="008155FD" w:rsidP="00567F66">
      <w:pPr>
        <w:pStyle w:val="paragraph"/>
        <w:spacing w:before="46" w:beforeAutospacing="0" w:after="0" w:afterAutospacing="0"/>
        <w:textAlignment w:val="baseline"/>
        <w:rPr>
          <w:rStyle w:val="normaltextrun"/>
          <w:rFonts w:ascii="Calibri" w:eastAsia="Calibri" w:hAnsi="Calibri" w:cs="Calibri"/>
          <w:b/>
          <w:bCs/>
          <w:color w:val="2E3192"/>
        </w:rPr>
      </w:pPr>
      <w:r>
        <w:rPr>
          <w:rFonts w:ascii="Calibri" w:eastAsia="Calibri" w:hAnsi="Calibri" w:cs="Calibri"/>
          <w:b/>
          <w:bCs/>
          <w:color w:val="2E3192"/>
        </w:rPr>
        <w:t>9</w:t>
      </w:r>
      <w:r w:rsidR="003264EA">
        <w:rPr>
          <w:rFonts w:ascii="Calibri" w:eastAsia="Calibri" w:hAnsi="Calibri" w:cs="Calibri"/>
          <w:b/>
          <w:bCs/>
          <w:color w:val="2E3192"/>
        </w:rPr>
        <w:t xml:space="preserve">. </w:t>
      </w:r>
      <w:r w:rsidR="00A07A0A">
        <w:rPr>
          <w:rFonts w:ascii="Calibri" w:eastAsia="Calibri" w:hAnsi="Calibri" w:cs="Calibri"/>
          <w:b/>
          <w:bCs/>
          <w:color w:val="2E3192"/>
        </w:rPr>
        <w:t>Financial Agreements</w:t>
      </w:r>
      <w:r w:rsidR="00567F66">
        <w:rPr>
          <w:rFonts w:ascii="Calibri" w:eastAsia="Calibri" w:hAnsi="Calibri" w:cs="Calibri"/>
          <w:b/>
          <w:bCs/>
          <w:color w:val="2E3192"/>
        </w:rPr>
        <w:t>:</w:t>
      </w:r>
      <w:r w:rsidR="00977BC5">
        <w:rPr>
          <w:rFonts w:ascii="Calibri" w:eastAsia="Calibri" w:hAnsi="Calibri" w:cs="Calibri"/>
          <w:b/>
          <w:bCs/>
          <w:color w:val="2E3192"/>
        </w:rPr>
        <w:t xml:space="preserve"> Reviewing IRB/Institution Will Not Charge Relying Institution(s) For Review Costs</w:t>
      </w:r>
      <w:r w:rsidR="00567F66">
        <w:rPr>
          <w:rFonts w:ascii="Calibri" w:eastAsia="Calibri" w:hAnsi="Calibri" w:cs="Calibri"/>
          <w:b/>
          <w:bCs/>
          <w:color w:val="2E3192"/>
        </w:rPr>
        <w:t xml:space="preserve"> </w:t>
      </w:r>
    </w:p>
    <w:p w14:paraId="56896CB5" w14:textId="194DA6D0" w:rsidR="00836FB8" w:rsidRDefault="00836FB8" w:rsidP="00836FB8">
      <w:pPr>
        <w:pStyle w:val="paragraph"/>
        <w:spacing w:before="0" w:beforeAutospacing="0" w:after="0" w:afterAutospacing="0"/>
        <w:ind w:right="240"/>
        <w:textAlignment w:val="baseline"/>
      </w:pPr>
      <w:r>
        <w:rPr>
          <w:rStyle w:val="normaltextrun"/>
          <w:rFonts w:ascii="Calibri" w:hAnsi="Calibri" w:cs="Calibri"/>
          <w:sz w:val="22"/>
          <w:szCs w:val="22"/>
        </w:rPr>
        <w:t xml:space="preserve">The Relying Institution will not be responsible for financial support of the costs of review of the identified </w:t>
      </w:r>
      <w:r w:rsidR="00E4210E">
        <w:rPr>
          <w:rStyle w:val="normaltextrun"/>
          <w:rFonts w:ascii="Calibri" w:hAnsi="Calibri" w:cs="Calibri"/>
          <w:sz w:val="22"/>
          <w:szCs w:val="22"/>
        </w:rPr>
        <w:t>research</w:t>
      </w:r>
      <w:r>
        <w:rPr>
          <w:rStyle w:val="normaltextrun"/>
          <w:rFonts w:ascii="Calibri" w:hAnsi="Calibri" w:cs="Calibri"/>
          <w:sz w:val="22"/>
          <w:szCs w:val="22"/>
        </w:rPr>
        <w:t>. The Reviewing IRB may charge the sponsor or other third parties for those costs.</w:t>
      </w:r>
      <w:r>
        <w:rPr>
          <w:rStyle w:val="eop"/>
          <w:rFonts w:ascii="Calibri" w:hAnsi="Calibri" w:cs="Calibri"/>
          <w:sz w:val="22"/>
          <w:szCs w:val="22"/>
        </w:rPr>
        <w:t> </w:t>
      </w:r>
    </w:p>
    <w:p w14:paraId="115EF875" w14:textId="28D1D417" w:rsidR="006A07C4" w:rsidRPr="008604F5" w:rsidRDefault="00836FB8" w:rsidP="008604F5">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br/>
      </w:r>
      <w:r w:rsidR="008155FD">
        <w:rPr>
          <w:rFonts w:ascii="Calibri" w:eastAsia="Calibri" w:hAnsi="Calibri" w:cs="Calibri"/>
          <w:b/>
          <w:bCs/>
          <w:color w:val="2E3192"/>
        </w:rPr>
        <w:t>10</w:t>
      </w:r>
      <w:r w:rsidR="00961D3F">
        <w:rPr>
          <w:rFonts w:ascii="Calibri" w:eastAsia="Calibri" w:hAnsi="Calibri" w:cs="Calibri"/>
          <w:b/>
          <w:bCs/>
          <w:color w:val="2E3192"/>
        </w:rPr>
        <w:t>. Quality Assurance/Quality Improvement (“QA/QI” Function or Program)</w:t>
      </w:r>
      <w:r w:rsidR="00567F66">
        <w:rPr>
          <w:rFonts w:ascii="Calibri" w:eastAsia="Calibri" w:hAnsi="Calibri" w:cs="Calibri"/>
          <w:b/>
          <w:bCs/>
          <w:color w:val="2E3192"/>
        </w:rPr>
        <w:t>:</w:t>
      </w:r>
      <w:r w:rsidR="00977BC5">
        <w:rPr>
          <w:rFonts w:ascii="Calibri" w:eastAsia="Calibri" w:hAnsi="Calibri" w:cs="Calibri"/>
          <w:b/>
          <w:bCs/>
          <w:color w:val="2E3192"/>
        </w:rPr>
        <w:t xml:space="preserve"> Program Access Required</w:t>
      </w:r>
      <w:r w:rsidR="008604F5">
        <w:rPr>
          <w:rFonts w:ascii="Calibri" w:eastAsia="Calibri" w:hAnsi="Calibri" w:cs="Calibri"/>
          <w:b/>
          <w:bCs/>
          <w:color w:val="2E3192"/>
        </w:rPr>
        <w:br/>
      </w:r>
      <w:r w:rsidR="001B3852">
        <w:rPr>
          <w:rStyle w:val="normaltextrun"/>
          <w:rFonts w:ascii="Calibri" w:hAnsi="Calibri" w:cs="Calibri"/>
          <w:sz w:val="22"/>
          <w:szCs w:val="22"/>
        </w:rPr>
        <w:t>Participating Institutions</w:t>
      </w:r>
      <w:r w:rsidR="006A07C4">
        <w:rPr>
          <w:rStyle w:val="normaltextrun"/>
          <w:rFonts w:ascii="Calibri" w:hAnsi="Calibri" w:cs="Calibri"/>
          <w:sz w:val="22"/>
          <w:szCs w:val="22"/>
        </w:rPr>
        <w:t xml:space="preserve"> must have or have access to a human subjects research QA/QI program or service (or an alternate means of monitoring) that can conduct and report to that institution the results of for-cause and not-for-cause audits of the institution’s and its Research Personnel’s compliance with human subjects protections and other relevant requirements.</w:t>
      </w:r>
      <w:r w:rsidR="006A07C4">
        <w:rPr>
          <w:rStyle w:val="eop"/>
          <w:rFonts w:ascii="Calibri" w:hAnsi="Calibri" w:cs="Calibri"/>
          <w:sz w:val="22"/>
          <w:szCs w:val="22"/>
        </w:rPr>
        <w:t> </w:t>
      </w:r>
      <w:r w:rsidR="006A07C4">
        <w:br/>
      </w:r>
    </w:p>
    <w:p w14:paraId="41057D4F" w14:textId="7BB9B4C9" w:rsidR="00E141D1" w:rsidRPr="008604F5" w:rsidRDefault="00961D3F" w:rsidP="00961D3F">
      <w:pPr>
        <w:pStyle w:val="paragraph"/>
        <w:spacing w:before="46" w:beforeAutospacing="0" w:after="0" w:afterAutospacing="0"/>
        <w:textAlignment w:val="baseline"/>
        <w:rPr>
          <w:rStyle w:val="normaltextrun"/>
          <w:rFonts w:ascii="Calibri" w:eastAsia="Calibri" w:hAnsi="Calibri" w:cs="Calibri"/>
          <w:b/>
          <w:bCs/>
          <w:color w:val="2E3192"/>
        </w:rPr>
      </w:pPr>
      <w:r>
        <w:rPr>
          <w:rFonts w:ascii="Calibri" w:eastAsia="Calibri" w:hAnsi="Calibri" w:cs="Calibri"/>
          <w:b/>
          <w:bCs/>
          <w:color w:val="2E3192"/>
        </w:rPr>
        <w:t>1</w:t>
      </w:r>
      <w:r w:rsidR="008155FD">
        <w:rPr>
          <w:rFonts w:ascii="Calibri" w:eastAsia="Calibri" w:hAnsi="Calibri" w:cs="Calibri"/>
          <w:b/>
          <w:bCs/>
          <w:color w:val="2E3192"/>
        </w:rPr>
        <w:t>1</w:t>
      </w:r>
      <w:r>
        <w:rPr>
          <w:rFonts w:ascii="Calibri" w:eastAsia="Calibri" w:hAnsi="Calibri" w:cs="Calibri"/>
          <w:b/>
          <w:bCs/>
          <w:color w:val="2E3192"/>
        </w:rPr>
        <w:t xml:space="preserve">. </w:t>
      </w:r>
      <w:r w:rsidR="00DB7084">
        <w:rPr>
          <w:rFonts w:ascii="Calibri" w:eastAsia="Calibri" w:hAnsi="Calibri" w:cs="Calibri"/>
          <w:b/>
          <w:bCs/>
          <w:color w:val="2E3192"/>
        </w:rPr>
        <w:t>Insurance</w:t>
      </w:r>
      <w:r w:rsidR="00567F66">
        <w:rPr>
          <w:rFonts w:ascii="Calibri" w:eastAsia="Calibri" w:hAnsi="Calibri" w:cs="Calibri"/>
          <w:b/>
          <w:bCs/>
          <w:color w:val="2E3192"/>
        </w:rPr>
        <w:t>:</w:t>
      </w:r>
      <w:r w:rsidR="00977BC5">
        <w:rPr>
          <w:rFonts w:ascii="Calibri" w:eastAsia="Calibri" w:hAnsi="Calibri" w:cs="Calibri"/>
          <w:b/>
          <w:bCs/>
          <w:color w:val="2E3192"/>
        </w:rPr>
        <w:t xml:space="preserve"> Required</w:t>
      </w:r>
      <w:r w:rsidR="008604F5">
        <w:rPr>
          <w:rFonts w:ascii="Calibri" w:eastAsia="Calibri" w:hAnsi="Calibri" w:cs="Calibri"/>
          <w:b/>
          <w:bCs/>
          <w:color w:val="2E3192"/>
        </w:rPr>
        <w:br/>
      </w:r>
      <w:r w:rsidR="00E141D1">
        <w:rPr>
          <w:rStyle w:val="normaltextrun"/>
          <w:rFonts w:ascii="Calibri" w:hAnsi="Calibri" w:cs="Calibri"/>
          <w:sz w:val="22"/>
          <w:szCs w:val="22"/>
        </w:rPr>
        <w:t>Participating Institution</w:t>
      </w:r>
      <w:r w:rsidR="001B3852">
        <w:rPr>
          <w:rStyle w:val="normaltextrun"/>
          <w:rFonts w:ascii="Calibri" w:hAnsi="Calibri" w:cs="Calibri"/>
          <w:sz w:val="22"/>
          <w:szCs w:val="22"/>
        </w:rPr>
        <w:t>s</w:t>
      </w:r>
      <w:r w:rsidR="00E141D1">
        <w:rPr>
          <w:rStyle w:val="normaltextrun"/>
          <w:rFonts w:ascii="Calibri" w:hAnsi="Calibri" w:cs="Calibri"/>
          <w:sz w:val="22"/>
          <w:szCs w:val="22"/>
        </w:rPr>
        <w:t xml:space="preserve"> must maintain insurance coverage of sufficient type(s) and in reasonable amount(s) to cover its activities with respect to the identified </w:t>
      </w:r>
      <w:r w:rsidR="00166DE5">
        <w:rPr>
          <w:rStyle w:val="normaltextrun"/>
          <w:rFonts w:ascii="Calibri" w:hAnsi="Calibri" w:cs="Calibri"/>
          <w:sz w:val="22"/>
          <w:szCs w:val="22"/>
        </w:rPr>
        <w:t>research,</w:t>
      </w:r>
      <w:r w:rsidR="00E141D1">
        <w:rPr>
          <w:rStyle w:val="normaltextrun"/>
          <w:rFonts w:ascii="Calibri" w:hAnsi="Calibri" w:cs="Calibri"/>
          <w:sz w:val="22"/>
          <w:szCs w:val="22"/>
        </w:rPr>
        <w:t xml:space="preserve"> including coverage of its IRB/IRB members when acting as a Reviewing IRB. </w:t>
      </w:r>
    </w:p>
    <w:p w14:paraId="4C8B77E6" w14:textId="77777777" w:rsidR="002C029E" w:rsidRDefault="002C029E" w:rsidP="00961D3F">
      <w:pPr>
        <w:pStyle w:val="paragraph"/>
        <w:spacing w:before="46" w:beforeAutospacing="0" w:after="0" w:afterAutospacing="0"/>
        <w:textAlignment w:val="baseline"/>
        <w:rPr>
          <w:rStyle w:val="normaltextrun"/>
          <w:rFonts w:ascii="Calibri" w:hAnsi="Calibri" w:cs="Calibri"/>
          <w:sz w:val="22"/>
          <w:szCs w:val="22"/>
        </w:rPr>
      </w:pPr>
    </w:p>
    <w:p w14:paraId="28A7F50D" w14:textId="678B1BCD" w:rsidR="00961D3F" w:rsidRPr="00567F66" w:rsidRDefault="00961D3F" w:rsidP="00961D3F">
      <w:pPr>
        <w:pStyle w:val="paragraph"/>
        <w:spacing w:before="46" w:beforeAutospacing="0" w:after="0" w:afterAutospacing="0"/>
        <w:textAlignment w:val="baseline"/>
        <w:rPr>
          <w:rFonts w:ascii="Calibri" w:eastAsia="Calibri" w:hAnsi="Calibri" w:cs="Calibri"/>
          <w:b/>
          <w:bCs/>
          <w:color w:val="2E3192"/>
        </w:rPr>
      </w:pPr>
      <w:r w:rsidRPr="00567F66">
        <w:rPr>
          <w:rFonts w:ascii="Calibri" w:eastAsia="Calibri" w:hAnsi="Calibri" w:cs="Calibri"/>
          <w:b/>
          <w:bCs/>
          <w:color w:val="2E3192"/>
        </w:rPr>
        <w:t>1</w:t>
      </w:r>
      <w:r w:rsidR="008155FD">
        <w:rPr>
          <w:rFonts w:ascii="Calibri" w:eastAsia="Calibri" w:hAnsi="Calibri" w:cs="Calibri"/>
          <w:b/>
          <w:bCs/>
          <w:color w:val="2E3192"/>
        </w:rPr>
        <w:t>2</w:t>
      </w:r>
      <w:r w:rsidRPr="00567F66">
        <w:rPr>
          <w:rFonts w:ascii="Calibri" w:eastAsia="Calibri" w:hAnsi="Calibri" w:cs="Calibri"/>
          <w:b/>
          <w:bCs/>
          <w:color w:val="2E3192"/>
        </w:rPr>
        <w:t xml:space="preserve">. </w:t>
      </w:r>
      <w:r w:rsidR="00977BC5" w:rsidRPr="00567F66">
        <w:rPr>
          <w:rFonts w:ascii="Calibri" w:eastAsia="Calibri" w:hAnsi="Calibri" w:cs="Calibri"/>
          <w:b/>
          <w:bCs/>
          <w:color w:val="2E3192"/>
        </w:rPr>
        <w:t>Indemnification:</w:t>
      </w:r>
      <w:r w:rsidR="00977BC5">
        <w:rPr>
          <w:rFonts w:ascii="Calibri" w:eastAsia="Calibri" w:hAnsi="Calibri" w:cs="Calibri"/>
          <w:b/>
          <w:bCs/>
          <w:color w:val="2E3192"/>
        </w:rPr>
        <w:t xml:space="preserve"> </w:t>
      </w:r>
      <w:r w:rsidR="0091310A">
        <w:rPr>
          <w:rFonts w:ascii="Calibri" w:eastAsia="Calibri" w:hAnsi="Calibri" w:cs="Calibri"/>
          <w:b/>
          <w:bCs/>
          <w:color w:val="2E3192"/>
        </w:rPr>
        <w:t>SMART IRB Version 3.0 Indemnification</w:t>
      </w:r>
      <w:r w:rsidR="00567F66" w:rsidRPr="00567F66">
        <w:rPr>
          <w:rFonts w:ascii="Calibri" w:eastAsia="Calibri" w:hAnsi="Calibri" w:cs="Calibri"/>
          <w:b/>
          <w:bCs/>
          <w:color w:val="2E3192"/>
        </w:rPr>
        <w:t xml:space="preserve"> </w:t>
      </w:r>
    </w:p>
    <w:p w14:paraId="2305945E" w14:textId="4C20CEF5" w:rsidR="004636EC" w:rsidRPr="007D58FB" w:rsidRDefault="00011836">
      <w:pPr>
        <w:pStyle w:val="paragraph"/>
        <w:spacing w:before="40" w:beforeAutospacing="0" w:after="0" w:afterAutospacing="0"/>
        <w:ind w:right="240"/>
        <w:textAlignment w:val="baseline"/>
      </w:pPr>
      <w:r w:rsidRPr="00537F37">
        <w:rPr>
          <w:rFonts w:ascii="Calibri" w:eastAsia="Calibri" w:hAnsi="Calibri" w:cs="Calibri"/>
          <w:sz w:val="22"/>
          <w:szCs w:val="22"/>
        </w:rPr>
        <w:t>If the</w:t>
      </w:r>
      <w:r w:rsidRPr="00537F37">
        <w:rPr>
          <w:rFonts w:ascii="Calibri" w:eastAsia="Calibri" w:hAnsi="Calibri" w:cs="Calibri"/>
          <w:b/>
          <w:bCs/>
          <w:sz w:val="22"/>
          <w:szCs w:val="22"/>
        </w:rPr>
        <w:t xml:space="preserve"> </w:t>
      </w:r>
      <w:r w:rsidR="0091310A" w:rsidRPr="00E84159">
        <w:rPr>
          <w:rStyle w:val="normaltextrun"/>
          <w:rFonts w:ascii="Calibri" w:hAnsi="Calibri" w:cs="Calibri"/>
          <w:sz w:val="22"/>
          <w:szCs w:val="22"/>
        </w:rPr>
        <w:t xml:space="preserve">Participating </w:t>
      </w:r>
      <w:r w:rsidR="0091310A">
        <w:rPr>
          <w:rStyle w:val="normaltextrun"/>
          <w:rFonts w:ascii="Calibri" w:hAnsi="Calibri" w:cs="Calibri"/>
          <w:sz w:val="22"/>
          <w:szCs w:val="22"/>
        </w:rPr>
        <w:t>Institutions are</w:t>
      </w:r>
      <w:r w:rsidR="004636EC">
        <w:rPr>
          <w:rStyle w:val="normaltextrun"/>
          <w:rFonts w:ascii="Calibri" w:hAnsi="Calibri" w:cs="Calibri"/>
          <w:sz w:val="22"/>
          <w:szCs w:val="22"/>
        </w:rPr>
        <w:t xml:space="preserve"> signatories</w:t>
      </w:r>
      <w:r w:rsidR="0091310A">
        <w:rPr>
          <w:rStyle w:val="normaltextrun"/>
          <w:rFonts w:ascii="Calibri" w:hAnsi="Calibri" w:cs="Calibri"/>
          <w:sz w:val="22"/>
          <w:szCs w:val="22"/>
        </w:rPr>
        <w:t xml:space="preserve"> to the optional Version 3.0 SMART IRB Agreement Indemnification </w:t>
      </w:r>
      <w:r w:rsidR="008155FD">
        <w:rPr>
          <w:rStyle w:val="normaltextrun"/>
          <w:rFonts w:ascii="Calibri" w:hAnsi="Calibri" w:cs="Calibri"/>
          <w:sz w:val="22"/>
          <w:szCs w:val="22"/>
        </w:rPr>
        <w:t>addendum</w:t>
      </w:r>
      <w:r w:rsidR="0091310A">
        <w:rPr>
          <w:rStyle w:val="normaltextrun"/>
          <w:rFonts w:ascii="Calibri" w:hAnsi="Calibri" w:cs="Calibri"/>
          <w:sz w:val="22"/>
          <w:szCs w:val="22"/>
        </w:rPr>
        <w:t xml:space="preserve">, </w:t>
      </w:r>
      <w:r>
        <w:rPr>
          <w:rStyle w:val="normaltextrun"/>
          <w:rFonts w:ascii="Calibri" w:hAnsi="Calibri" w:cs="Calibri"/>
          <w:sz w:val="22"/>
          <w:szCs w:val="22"/>
        </w:rPr>
        <w:t>this</w:t>
      </w:r>
      <w:r w:rsidR="0091310A">
        <w:rPr>
          <w:rStyle w:val="normaltextrun"/>
          <w:rFonts w:ascii="Calibri" w:hAnsi="Calibri" w:cs="Calibri"/>
          <w:sz w:val="22"/>
          <w:szCs w:val="22"/>
        </w:rPr>
        <w:t xml:space="preserve"> will apply for this research. </w:t>
      </w:r>
      <w:r w:rsidR="0091310A">
        <w:rPr>
          <w:rStyle w:val="eop"/>
          <w:rFonts w:ascii="Calibri" w:hAnsi="Calibri" w:cs="Calibri"/>
          <w:sz w:val="22"/>
          <w:szCs w:val="22"/>
        </w:rPr>
        <w:t> </w:t>
      </w:r>
    </w:p>
    <w:sectPr w:rsidR="004636EC" w:rsidRPr="007D58FB" w:rsidSect="009B2DD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720" w:bottom="720" w:left="720"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96B3" w14:textId="77777777" w:rsidR="00FD1990" w:rsidRDefault="00FD1990" w:rsidP="00BE1911">
      <w:pPr>
        <w:spacing w:after="0" w:line="240" w:lineRule="auto"/>
      </w:pPr>
      <w:r>
        <w:separator/>
      </w:r>
    </w:p>
  </w:endnote>
  <w:endnote w:type="continuationSeparator" w:id="0">
    <w:p w14:paraId="57D5086E" w14:textId="77777777" w:rsidR="00FD1990" w:rsidRDefault="00FD1990"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4D4D0646" w:rsidR="00F3457B" w:rsidRDefault="005647E7" w:rsidP="002E7B23">
    <w:pPr>
      <w:pStyle w:val="Footer"/>
      <w:ind w:right="360"/>
    </w:pPr>
    <w:r>
      <w:rPr>
        <w:noProof/>
      </w:rPr>
      <mc:AlternateContent>
        <mc:Choice Requires="wps">
          <w:drawing>
            <wp:anchor distT="0" distB="0" distL="0" distR="0" simplePos="0" relativeHeight="251671552" behindDoc="1" locked="0" layoutInCell="1" allowOverlap="1" wp14:anchorId="10B40B93" wp14:editId="6E743FC3">
              <wp:simplePos x="0" y="0"/>
              <wp:positionH relativeFrom="page">
                <wp:posOffset>457200</wp:posOffset>
              </wp:positionH>
              <wp:positionV relativeFrom="bottomMargin">
                <wp:posOffset>-636</wp:posOffset>
              </wp:positionV>
              <wp:extent cx="1190625" cy="238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wps:spPr>
                    <wps:txbx>
                      <w:txbxContent>
                        <w:p w14:paraId="17F2C8DB" w14:textId="5B62AF3C" w:rsidR="00723622" w:rsidRDefault="00723622" w:rsidP="00723622">
                          <w:pPr>
                            <w:spacing w:before="19"/>
                            <w:ind w:left="20"/>
                            <w:rPr>
                              <w:sz w:val="24"/>
                            </w:rPr>
                          </w:pPr>
                          <w:r>
                            <w:rPr>
                              <w:color w:val="0462C1"/>
                              <w:spacing w:val="-2"/>
                              <w:sz w:val="24"/>
                            </w:rPr>
                            <w:t>w</w:t>
                          </w:r>
                          <w:r w:rsidR="005647E7">
                            <w:rPr>
                              <w:color w:val="0462C1"/>
                              <w:spacing w:val="-2"/>
                              <w:sz w:val="24"/>
                            </w:rPr>
                            <w:t>w</w:t>
                          </w:r>
                          <w:r>
                            <w:rPr>
                              <w:color w:val="0462C1"/>
                              <w:spacing w:val="-2"/>
                              <w:sz w:val="24"/>
                            </w:rPr>
                            <w:t>w.smartirb.org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0B40B93" id="_x0000_t202" coordsize="21600,21600" o:spt="202" path="m,l,21600r21600,l21600,xe">
              <v:stroke joinstyle="miter"/>
              <v:path gradientshapeok="t" o:connecttype="rect"/>
            </v:shapetype>
            <v:shape id="Textbox 2" o:spid="_x0000_s1030" type="#_x0000_t202" style="position:absolute;margin-left:36pt;margin-top:-.05pt;width:93.75pt;height:18.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Yz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" filled="f" stroked="f">
              <v:textbox inset="0,0,0,0">
                <w:txbxContent>
                  <w:p w14:paraId="17F2C8DB" w14:textId="5B62AF3C" w:rsidR="00723622" w:rsidRDefault="00723622" w:rsidP="00723622">
                    <w:pPr>
                      <w:spacing w:before="19"/>
                      <w:ind w:left="20"/>
                      <w:rPr>
                        <w:sz w:val="24"/>
                      </w:rPr>
                    </w:pPr>
                    <w:r>
                      <w:rPr>
                        <w:color w:val="0462C1"/>
                        <w:spacing w:val="-2"/>
                        <w:sz w:val="24"/>
                      </w:rPr>
                      <w:t>w</w:t>
                    </w:r>
                    <w:r w:rsidR="005647E7">
                      <w:rPr>
                        <w:color w:val="0462C1"/>
                        <w:spacing w:val="-2"/>
                        <w:sz w:val="24"/>
                      </w:rPr>
                      <w:t>w</w:t>
                    </w:r>
                    <w:r>
                      <w:rPr>
                        <w:color w:val="0462C1"/>
                        <w:spacing w:val="-2"/>
                        <w:sz w:val="24"/>
                      </w:rPr>
                      <w:t>w.smartirb.org</w:t>
                    </w:r>
                  </w:p>
                </w:txbxContent>
              </v:textbox>
              <w10:wrap anchorx="page" anchory="margin"/>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73600" behindDoc="0" locked="0" layoutInCell="1" allowOverlap="1" wp14:anchorId="1561262B" wp14:editId="49245951">
              <wp:simplePos x="0" y="0"/>
              <wp:positionH relativeFrom="column">
                <wp:posOffset>1278255</wp:posOffset>
              </wp:positionH>
              <wp:positionV relativeFrom="paragraph">
                <wp:posOffset>47625</wp:posOffset>
              </wp:positionV>
              <wp:extent cx="5015552" cy="571500"/>
              <wp:effectExtent l="0" t="0" r="13970" b="0"/>
              <wp:wrapNone/>
              <wp:docPr id="135524183" name="Text Box 135524183"/>
              <wp:cNvGraphicFramePr/>
              <a:graphic xmlns:a="http://schemas.openxmlformats.org/drawingml/2006/main">
                <a:graphicData uri="http://schemas.microsoft.com/office/word/2010/wordprocessingShape">
                  <wps:wsp>
                    <wps:cNvSpPr txBox="1"/>
                    <wps:spPr>
                      <a:xfrm>
                        <a:off x="0" y="0"/>
                        <a:ext cx="5015552" cy="571500"/>
                      </a:xfrm>
                      <a:prstGeom prst="rect">
                        <a:avLst/>
                      </a:prstGeom>
                      <a:noFill/>
                      <a:ln>
                        <a:noFill/>
                      </a:ln>
                      <a:effectLst/>
                    </wps:spPr>
                    <wps:txbx>
                      <w:txbxContent>
                        <w:p w14:paraId="45045BA1" w14:textId="24796921" w:rsidR="00723622" w:rsidRPr="002E7B23" w:rsidRDefault="00723622" w:rsidP="00723622">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w:t>
                          </w:r>
                          <w:r w:rsidR="00930A63">
                            <w:rPr>
                              <w:color w:val="7F7F7F" w:themeColor="text1" w:themeTint="80"/>
                            </w:rPr>
                            <w:t>Letter of Acknowledgment</w:t>
                          </w:r>
                          <w:r>
                            <w:rPr>
                              <w:color w:val="7F7F7F" w:themeColor="text1" w:themeTint="80"/>
                            </w:rPr>
                            <w: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533C1039" w14:textId="77777777" w:rsidR="00723622" w:rsidRDefault="00723622" w:rsidP="0072362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262B" id="Text Box 135524183" o:spid="_x0000_s1031" type="#_x0000_t202" style="position:absolute;margin-left:100.65pt;margin-top:3.75pt;width:394.9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" filled="f" stroked="f">
              <v:textbox inset="0,0,0,0">
                <w:txbxContent>
                  <w:p w14:paraId="45045BA1" w14:textId="24796921" w:rsidR="00723622" w:rsidRPr="002E7B23" w:rsidRDefault="00723622" w:rsidP="00723622">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w:t>
                    </w:r>
                    <w:r w:rsidR="00930A63">
                      <w:rPr>
                        <w:color w:val="7F7F7F" w:themeColor="text1" w:themeTint="80"/>
                      </w:rPr>
                      <w:t>Letter of Acknowledgment</w:t>
                    </w:r>
                    <w:r>
                      <w:rPr>
                        <w:color w:val="7F7F7F" w:themeColor="text1" w:themeTint="80"/>
                      </w:rPr>
                      <w: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533C1039" w14:textId="77777777" w:rsidR="00723622" w:rsidRDefault="00723622" w:rsidP="00723622"/>
                </w:txbxContent>
              </v:textbox>
            </v:shape>
          </w:pict>
        </mc:Fallback>
      </mc:AlternateContent>
    </w:r>
    <w:r w:rsidR="00537F37">
      <w:rPr>
        <w:noProof/>
      </w:rPr>
      <mc:AlternateContent>
        <mc:Choice Requires="wps">
          <w:drawing>
            <wp:anchor distT="0" distB="0" distL="0" distR="0" simplePos="0" relativeHeight="251669504" behindDoc="1" locked="0" layoutInCell="1" allowOverlap="1" wp14:anchorId="0CBCC9C3" wp14:editId="3A81DC3A">
              <wp:simplePos x="0" y="0"/>
              <wp:positionH relativeFrom="page">
                <wp:posOffset>454660</wp:posOffset>
              </wp:positionH>
              <wp:positionV relativeFrom="page">
                <wp:posOffset>9180830</wp:posOffset>
              </wp:positionV>
              <wp:extent cx="886460" cy="1581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58115"/>
                      </a:xfrm>
                      <a:prstGeom prst="rect">
                        <a:avLst/>
                      </a:prstGeom>
                    </wps:spPr>
                    <wps:txbx>
                      <w:txbxContent>
                        <w:p w14:paraId="4523D5B0" w14:textId="77777777" w:rsidR="00723622" w:rsidRDefault="00723622" w:rsidP="00723622">
                          <w:pPr>
                            <w:spacing w:before="27"/>
                            <w:ind w:left="20"/>
                            <w:rPr>
                              <w:sz w:val="15"/>
                            </w:rPr>
                          </w:pPr>
                          <w:r>
                            <w:rPr>
                              <w:color w:val="7E7E7E"/>
                              <w:w w:val="105"/>
                              <w:sz w:val="15"/>
                            </w:rPr>
                            <w:t>Version date: 03/</w:t>
                          </w:r>
                          <w:r>
                            <w:rPr>
                              <w:color w:val="7E7E7E"/>
                              <w:spacing w:val="-4"/>
                              <w:w w:val="105"/>
                              <w:sz w:val="15"/>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CBCC9C3" id="Textbox 5" o:spid="_x0000_s1032" type="#_x0000_t202" style="position:absolute;margin-left:35.8pt;margin-top:722.9pt;width:69.8pt;height:12.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" filled="f" stroked="f">
              <v:textbox inset="0,0,0,0">
                <w:txbxContent>
                  <w:p w14:paraId="4523D5B0" w14:textId="77777777" w:rsidR="00723622" w:rsidRDefault="00723622" w:rsidP="00723622">
                    <w:pPr>
                      <w:spacing w:before="27"/>
                      <w:ind w:left="20"/>
                      <w:rPr>
                        <w:sz w:val="15"/>
                      </w:rPr>
                    </w:pPr>
                    <w:r>
                      <w:rPr>
                        <w:color w:val="7E7E7E"/>
                        <w:w w:val="105"/>
                        <w:sz w:val="15"/>
                      </w:rPr>
                      <w:t>Version date: 03/</w:t>
                    </w:r>
                    <w:r>
                      <w:rPr>
                        <w:color w:val="7E7E7E"/>
                        <w:spacing w:val="-4"/>
                        <w:w w:val="105"/>
                        <w:sz w:val="15"/>
                      </w:rPr>
                      <w:t>25</w:t>
                    </w:r>
                  </w:p>
                </w:txbxContent>
              </v:textbox>
              <w10:wrap anchorx="page" anchory="page"/>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E9D2" w14:textId="50EB29C8"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11D8" w14:textId="77777777" w:rsidR="00FD1990" w:rsidRDefault="00FD1990" w:rsidP="00BE1911">
      <w:pPr>
        <w:spacing w:after="0" w:line="240" w:lineRule="auto"/>
      </w:pPr>
      <w:r>
        <w:separator/>
      </w:r>
    </w:p>
  </w:footnote>
  <w:footnote w:type="continuationSeparator" w:id="0">
    <w:p w14:paraId="26693F82" w14:textId="77777777" w:rsidR="00FD1990" w:rsidRDefault="00FD1990"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6E697169" w:rsidR="00F3457B" w:rsidRDefault="00F9304E">
    <w:pPr>
      <w:pStyle w:val="Header"/>
    </w:pPr>
    <w:r>
      <w:rPr>
        <w:noProof/>
      </w:rPr>
      <mc:AlternateContent>
        <mc:Choice Requires="wps">
          <w:drawing>
            <wp:anchor distT="0" distB="0" distL="114300" distR="114300" simplePos="0" relativeHeight="251667456" behindDoc="0" locked="0" layoutInCell="1" allowOverlap="1" wp14:anchorId="5E30B56A" wp14:editId="0A40C958">
              <wp:simplePos x="0" y="0"/>
              <wp:positionH relativeFrom="column">
                <wp:posOffset>1466850</wp:posOffset>
              </wp:positionH>
              <wp:positionV relativeFrom="paragraph">
                <wp:posOffset>5715</wp:posOffset>
              </wp:positionV>
              <wp:extent cx="5381625" cy="5715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381625" cy="571500"/>
                      </a:xfrm>
                      <a:prstGeom prst="rect">
                        <a:avLst/>
                      </a:prstGeom>
                      <a:noFill/>
                      <a:ln>
                        <a:noFill/>
                      </a:ln>
                      <a:effectLst/>
                    </wps:spPr>
                    <wps:txbx>
                      <w:txbxContent>
                        <w:p w14:paraId="766D8F4C" w14:textId="307B0B3D" w:rsidR="00F9304E" w:rsidRPr="009F0A55" w:rsidRDefault="00F9304E" w:rsidP="00F9304E">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r w:rsidR="00DE4547">
                            <w:t>Default terms apply.</w:t>
                          </w:r>
                        </w:p>
                        <w:p w14:paraId="0CAC5295" w14:textId="641F5C94" w:rsidR="00F9304E" w:rsidRDefault="00F9304E" w:rsidP="00F9304E">
                          <w:pPr>
                            <w:spacing w:after="80" w:line="240" w:lineRule="auto"/>
                            <w:rPr>
                              <w:rFonts w:cs="Times New Roman"/>
                              <w:i/>
                              <w:sz w:val="20"/>
                              <w:szCs w:val="20"/>
                            </w:rPr>
                          </w:pPr>
                        </w:p>
                        <w:p w14:paraId="49E8E6F5" w14:textId="77777777" w:rsidR="00F9304E" w:rsidRPr="00082F52" w:rsidRDefault="00F9304E" w:rsidP="00F9304E">
                          <w:pPr>
                            <w:spacing w:after="80" w:line="240" w:lineRule="auto"/>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0B56A" id="_x0000_t202" coordsize="21600,21600" o:spt="202" path="m,l,21600r21600,l21600,xe">
              <v:stroke joinstyle="miter"/>
              <v:path gradientshapeok="t" o:connecttype="rect"/>
            </v:shapetype>
            <v:shape id="Text Box 11" o:spid="_x0000_s1029" type="#_x0000_t202" style="position:absolute;margin-left:115.5pt;margin-top:.45pt;width:423.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" filled="f" stroked="f">
              <v:textbox inset="0,0,0,0">
                <w:txbxContent>
                  <w:p w14:paraId="766D8F4C" w14:textId="307B0B3D" w:rsidR="00F9304E" w:rsidRPr="009F0A55" w:rsidRDefault="00F9304E" w:rsidP="00F9304E">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r w:rsidR="00DE4547">
                      <w:t>Default terms apply.</w:t>
                    </w:r>
                  </w:p>
                  <w:p w14:paraId="0CAC5295" w14:textId="641F5C94" w:rsidR="00F9304E" w:rsidRDefault="00F9304E" w:rsidP="00F9304E">
                    <w:pPr>
                      <w:spacing w:after="80" w:line="240" w:lineRule="auto"/>
                      <w:rPr>
                        <w:rFonts w:cs="Times New Roman"/>
                        <w:i/>
                        <w:sz w:val="20"/>
                        <w:szCs w:val="20"/>
                      </w:rPr>
                    </w:pPr>
                  </w:p>
                  <w:p w14:paraId="49E8E6F5" w14:textId="77777777" w:rsidR="00F9304E" w:rsidRPr="00082F52" w:rsidRDefault="00F9304E" w:rsidP="00F9304E">
                    <w:pPr>
                      <w:spacing w:after="80" w:line="240" w:lineRule="auto"/>
                      <w:rPr>
                        <w:sz w:val="18"/>
                        <w:szCs w:val="18"/>
                      </w:rPr>
                    </w:pPr>
                  </w:p>
                </w:txbxContent>
              </v:textbox>
            </v:shape>
          </w:pict>
        </mc:Fallback>
      </mc:AlternateContent>
    </w:r>
    <w:r w:rsidR="00794FCD">
      <w:rPr>
        <w:noProof/>
      </w:rPr>
      <w:drawing>
        <wp:inline distT="0" distB="0" distL="0" distR="0" wp14:anchorId="7FED8E79" wp14:editId="71FC0610">
          <wp:extent cx="1390015" cy="503555"/>
          <wp:effectExtent l="0" t="0" r="635" b="0"/>
          <wp:docPr id="19690183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651841">
    <w:abstractNumId w:val="4"/>
  </w:num>
  <w:num w:numId="2" w16cid:durableId="32116552">
    <w:abstractNumId w:val="20"/>
  </w:num>
  <w:num w:numId="3" w16cid:durableId="132449196">
    <w:abstractNumId w:val="1"/>
  </w:num>
  <w:num w:numId="4" w16cid:durableId="1784227301">
    <w:abstractNumId w:val="10"/>
  </w:num>
  <w:num w:numId="5" w16cid:durableId="2115634552">
    <w:abstractNumId w:val="9"/>
  </w:num>
  <w:num w:numId="6" w16cid:durableId="512767311">
    <w:abstractNumId w:val="2"/>
  </w:num>
  <w:num w:numId="7" w16cid:durableId="87310241">
    <w:abstractNumId w:val="22"/>
  </w:num>
  <w:num w:numId="8" w16cid:durableId="2022388556">
    <w:abstractNumId w:val="17"/>
  </w:num>
  <w:num w:numId="9" w16cid:durableId="631250845">
    <w:abstractNumId w:val="15"/>
  </w:num>
  <w:num w:numId="10" w16cid:durableId="120223141">
    <w:abstractNumId w:val="18"/>
  </w:num>
  <w:num w:numId="11" w16cid:durableId="2107996037">
    <w:abstractNumId w:val="19"/>
  </w:num>
  <w:num w:numId="12" w16cid:durableId="929507998">
    <w:abstractNumId w:val="13"/>
  </w:num>
  <w:num w:numId="13" w16cid:durableId="1237011229">
    <w:abstractNumId w:val="14"/>
  </w:num>
  <w:num w:numId="14" w16cid:durableId="1880241804">
    <w:abstractNumId w:val="0"/>
  </w:num>
  <w:num w:numId="15" w16cid:durableId="387262075">
    <w:abstractNumId w:val="16"/>
  </w:num>
  <w:num w:numId="16" w16cid:durableId="1174615325">
    <w:abstractNumId w:val="5"/>
  </w:num>
  <w:num w:numId="17" w16cid:durableId="312222586">
    <w:abstractNumId w:val="11"/>
  </w:num>
  <w:num w:numId="18" w16cid:durableId="726875824">
    <w:abstractNumId w:val="21"/>
  </w:num>
  <w:num w:numId="19" w16cid:durableId="1544900138">
    <w:abstractNumId w:val="3"/>
  </w:num>
  <w:num w:numId="20" w16cid:durableId="1792019393">
    <w:abstractNumId w:val="6"/>
  </w:num>
  <w:num w:numId="21" w16cid:durableId="85228749">
    <w:abstractNumId w:val="7"/>
  </w:num>
  <w:num w:numId="22" w16cid:durableId="1972204663">
    <w:abstractNumId w:val="8"/>
  </w:num>
  <w:num w:numId="23" w16cid:durableId="169372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0724B"/>
    <w:rsid w:val="00010A54"/>
    <w:rsid w:val="00010D31"/>
    <w:rsid w:val="00011836"/>
    <w:rsid w:val="00012097"/>
    <w:rsid w:val="0001310B"/>
    <w:rsid w:val="00014A19"/>
    <w:rsid w:val="00014ED2"/>
    <w:rsid w:val="00015DB1"/>
    <w:rsid w:val="00016F8E"/>
    <w:rsid w:val="00020BAC"/>
    <w:rsid w:val="00020F36"/>
    <w:rsid w:val="00023368"/>
    <w:rsid w:val="00023D0A"/>
    <w:rsid w:val="00025026"/>
    <w:rsid w:val="000251E2"/>
    <w:rsid w:val="000256FC"/>
    <w:rsid w:val="00026AEA"/>
    <w:rsid w:val="00027754"/>
    <w:rsid w:val="00027AF7"/>
    <w:rsid w:val="00031315"/>
    <w:rsid w:val="000314E6"/>
    <w:rsid w:val="00033347"/>
    <w:rsid w:val="00034187"/>
    <w:rsid w:val="00035467"/>
    <w:rsid w:val="00036913"/>
    <w:rsid w:val="00036CE7"/>
    <w:rsid w:val="00044203"/>
    <w:rsid w:val="0004752D"/>
    <w:rsid w:val="00050F24"/>
    <w:rsid w:val="000519DB"/>
    <w:rsid w:val="000539B9"/>
    <w:rsid w:val="000545FF"/>
    <w:rsid w:val="00054FB6"/>
    <w:rsid w:val="000563BF"/>
    <w:rsid w:val="00057FA1"/>
    <w:rsid w:val="00060AEC"/>
    <w:rsid w:val="0006125F"/>
    <w:rsid w:val="00064E18"/>
    <w:rsid w:val="00064F56"/>
    <w:rsid w:val="000654D9"/>
    <w:rsid w:val="0006593B"/>
    <w:rsid w:val="00067E11"/>
    <w:rsid w:val="00070CAE"/>
    <w:rsid w:val="0007162A"/>
    <w:rsid w:val="000729DF"/>
    <w:rsid w:val="00076B76"/>
    <w:rsid w:val="00077379"/>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C289B"/>
    <w:rsid w:val="000C5739"/>
    <w:rsid w:val="000C57B1"/>
    <w:rsid w:val="000C67CA"/>
    <w:rsid w:val="000C7462"/>
    <w:rsid w:val="000C7BB3"/>
    <w:rsid w:val="000D0F9F"/>
    <w:rsid w:val="000D7521"/>
    <w:rsid w:val="000D7DA0"/>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106A"/>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4AFA"/>
    <w:rsid w:val="001250A7"/>
    <w:rsid w:val="00126DA8"/>
    <w:rsid w:val="00127BB5"/>
    <w:rsid w:val="00131D31"/>
    <w:rsid w:val="00134530"/>
    <w:rsid w:val="00136BB6"/>
    <w:rsid w:val="001379DB"/>
    <w:rsid w:val="0014033E"/>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A10B9"/>
    <w:rsid w:val="001A2666"/>
    <w:rsid w:val="001A2A6C"/>
    <w:rsid w:val="001A30AE"/>
    <w:rsid w:val="001A31FA"/>
    <w:rsid w:val="001A34BD"/>
    <w:rsid w:val="001A4093"/>
    <w:rsid w:val="001A4EB3"/>
    <w:rsid w:val="001A6E7A"/>
    <w:rsid w:val="001A7395"/>
    <w:rsid w:val="001B0509"/>
    <w:rsid w:val="001B1FE8"/>
    <w:rsid w:val="001B3852"/>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C75BB"/>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0F4"/>
    <w:rsid w:val="00207F59"/>
    <w:rsid w:val="0021007C"/>
    <w:rsid w:val="002216F1"/>
    <w:rsid w:val="00221E02"/>
    <w:rsid w:val="0022202D"/>
    <w:rsid w:val="0022784E"/>
    <w:rsid w:val="00231091"/>
    <w:rsid w:val="002352C7"/>
    <w:rsid w:val="0023547D"/>
    <w:rsid w:val="00236950"/>
    <w:rsid w:val="002377E9"/>
    <w:rsid w:val="00237A43"/>
    <w:rsid w:val="00237B30"/>
    <w:rsid w:val="00243953"/>
    <w:rsid w:val="00244A35"/>
    <w:rsid w:val="00246D7C"/>
    <w:rsid w:val="00253C5F"/>
    <w:rsid w:val="00253FCE"/>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2A0"/>
    <w:rsid w:val="00294A6A"/>
    <w:rsid w:val="00294D79"/>
    <w:rsid w:val="00296416"/>
    <w:rsid w:val="002974B6"/>
    <w:rsid w:val="002A021D"/>
    <w:rsid w:val="002A257E"/>
    <w:rsid w:val="002A3AFD"/>
    <w:rsid w:val="002A3B1B"/>
    <w:rsid w:val="002A4573"/>
    <w:rsid w:val="002A5B2F"/>
    <w:rsid w:val="002A6B8E"/>
    <w:rsid w:val="002A716E"/>
    <w:rsid w:val="002B0911"/>
    <w:rsid w:val="002B28E1"/>
    <w:rsid w:val="002B3E1C"/>
    <w:rsid w:val="002B4DA0"/>
    <w:rsid w:val="002B60AD"/>
    <w:rsid w:val="002B627A"/>
    <w:rsid w:val="002B743F"/>
    <w:rsid w:val="002C029E"/>
    <w:rsid w:val="002C09B6"/>
    <w:rsid w:val="002C0AD9"/>
    <w:rsid w:val="002C12E3"/>
    <w:rsid w:val="002C1A7C"/>
    <w:rsid w:val="002C2792"/>
    <w:rsid w:val="002C2D8F"/>
    <w:rsid w:val="002C3446"/>
    <w:rsid w:val="002C4689"/>
    <w:rsid w:val="002C7F81"/>
    <w:rsid w:val="002D028D"/>
    <w:rsid w:val="002D186F"/>
    <w:rsid w:val="002D1B7F"/>
    <w:rsid w:val="002D20BD"/>
    <w:rsid w:val="002D53F1"/>
    <w:rsid w:val="002D5E19"/>
    <w:rsid w:val="002D624D"/>
    <w:rsid w:val="002E2EB8"/>
    <w:rsid w:val="002E490B"/>
    <w:rsid w:val="002E618E"/>
    <w:rsid w:val="002E689D"/>
    <w:rsid w:val="002E6D10"/>
    <w:rsid w:val="002E7B23"/>
    <w:rsid w:val="002F20A1"/>
    <w:rsid w:val="002F300B"/>
    <w:rsid w:val="002F5C3C"/>
    <w:rsid w:val="002F6B9C"/>
    <w:rsid w:val="002F6F06"/>
    <w:rsid w:val="0030070B"/>
    <w:rsid w:val="0030139F"/>
    <w:rsid w:val="00304E4B"/>
    <w:rsid w:val="00305AD7"/>
    <w:rsid w:val="0030617B"/>
    <w:rsid w:val="003100D4"/>
    <w:rsid w:val="00310FA5"/>
    <w:rsid w:val="00311111"/>
    <w:rsid w:val="00315BDF"/>
    <w:rsid w:val="00316A7A"/>
    <w:rsid w:val="00322313"/>
    <w:rsid w:val="003236F4"/>
    <w:rsid w:val="003264EA"/>
    <w:rsid w:val="003267B6"/>
    <w:rsid w:val="003321B6"/>
    <w:rsid w:val="003348EE"/>
    <w:rsid w:val="00337116"/>
    <w:rsid w:val="00337C84"/>
    <w:rsid w:val="00341455"/>
    <w:rsid w:val="003436CC"/>
    <w:rsid w:val="00344075"/>
    <w:rsid w:val="0034541B"/>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866CC"/>
    <w:rsid w:val="00391E08"/>
    <w:rsid w:val="003922B1"/>
    <w:rsid w:val="003957DA"/>
    <w:rsid w:val="00396EB4"/>
    <w:rsid w:val="00397FF7"/>
    <w:rsid w:val="003A0085"/>
    <w:rsid w:val="003A1BA4"/>
    <w:rsid w:val="003A1F0B"/>
    <w:rsid w:val="003A5FC6"/>
    <w:rsid w:val="003A777C"/>
    <w:rsid w:val="003B1114"/>
    <w:rsid w:val="003B6B66"/>
    <w:rsid w:val="003B7C2D"/>
    <w:rsid w:val="003C0A97"/>
    <w:rsid w:val="003C214B"/>
    <w:rsid w:val="003C2A98"/>
    <w:rsid w:val="003C3CD3"/>
    <w:rsid w:val="003C5FD6"/>
    <w:rsid w:val="003D21D4"/>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3F5810"/>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DBE"/>
    <w:rsid w:val="00426AA1"/>
    <w:rsid w:val="00426AA5"/>
    <w:rsid w:val="00426D86"/>
    <w:rsid w:val="00430E1C"/>
    <w:rsid w:val="004325A0"/>
    <w:rsid w:val="004328AB"/>
    <w:rsid w:val="00432E70"/>
    <w:rsid w:val="00433B20"/>
    <w:rsid w:val="004343B4"/>
    <w:rsid w:val="00436676"/>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238"/>
    <w:rsid w:val="00461F1E"/>
    <w:rsid w:val="00461F4E"/>
    <w:rsid w:val="004636EC"/>
    <w:rsid w:val="004638AD"/>
    <w:rsid w:val="00464A82"/>
    <w:rsid w:val="00465B90"/>
    <w:rsid w:val="00470B66"/>
    <w:rsid w:val="00470DFD"/>
    <w:rsid w:val="004718C4"/>
    <w:rsid w:val="0047305D"/>
    <w:rsid w:val="004733CE"/>
    <w:rsid w:val="004749CD"/>
    <w:rsid w:val="004772CF"/>
    <w:rsid w:val="004801BF"/>
    <w:rsid w:val="004811A1"/>
    <w:rsid w:val="00483A6A"/>
    <w:rsid w:val="00486619"/>
    <w:rsid w:val="0048718E"/>
    <w:rsid w:val="00490463"/>
    <w:rsid w:val="0049203E"/>
    <w:rsid w:val="00494364"/>
    <w:rsid w:val="00495589"/>
    <w:rsid w:val="00497ABE"/>
    <w:rsid w:val="004A1F34"/>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4F6E33"/>
    <w:rsid w:val="005015B9"/>
    <w:rsid w:val="00502D58"/>
    <w:rsid w:val="00504D48"/>
    <w:rsid w:val="005072E1"/>
    <w:rsid w:val="00507796"/>
    <w:rsid w:val="005120E0"/>
    <w:rsid w:val="00514793"/>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5B2"/>
    <w:rsid w:val="00537A98"/>
    <w:rsid w:val="00537F37"/>
    <w:rsid w:val="00540521"/>
    <w:rsid w:val="0054074D"/>
    <w:rsid w:val="005465F4"/>
    <w:rsid w:val="00547AC2"/>
    <w:rsid w:val="00547D34"/>
    <w:rsid w:val="00554023"/>
    <w:rsid w:val="00554BA8"/>
    <w:rsid w:val="00555417"/>
    <w:rsid w:val="005554B3"/>
    <w:rsid w:val="005605F2"/>
    <w:rsid w:val="00560A51"/>
    <w:rsid w:val="005628AB"/>
    <w:rsid w:val="0056349F"/>
    <w:rsid w:val="00563819"/>
    <w:rsid w:val="0056424D"/>
    <w:rsid w:val="005647E5"/>
    <w:rsid w:val="005647E7"/>
    <w:rsid w:val="00564AFE"/>
    <w:rsid w:val="005666FC"/>
    <w:rsid w:val="00567F66"/>
    <w:rsid w:val="00570D15"/>
    <w:rsid w:val="005726AA"/>
    <w:rsid w:val="0057321D"/>
    <w:rsid w:val="005755DB"/>
    <w:rsid w:val="00577F9C"/>
    <w:rsid w:val="005808A8"/>
    <w:rsid w:val="00580CF9"/>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160B"/>
    <w:rsid w:val="005A436F"/>
    <w:rsid w:val="005A5782"/>
    <w:rsid w:val="005A6348"/>
    <w:rsid w:val="005B1FF0"/>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E590C"/>
    <w:rsid w:val="005E74BD"/>
    <w:rsid w:val="005F0122"/>
    <w:rsid w:val="005F0604"/>
    <w:rsid w:val="005F209E"/>
    <w:rsid w:val="005F4464"/>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1C8E"/>
    <w:rsid w:val="0063292B"/>
    <w:rsid w:val="00633396"/>
    <w:rsid w:val="00635048"/>
    <w:rsid w:val="0063726A"/>
    <w:rsid w:val="00637FF1"/>
    <w:rsid w:val="006412DF"/>
    <w:rsid w:val="00641552"/>
    <w:rsid w:val="00641E36"/>
    <w:rsid w:val="006424A2"/>
    <w:rsid w:val="00642B25"/>
    <w:rsid w:val="00642FE5"/>
    <w:rsid w:val="00645248"/>
    <w:rsid w:val="00645394"/>
    <w:rsid w:val="00650B85"/>
    <w:rsid w:val="00654E1A"/>
    <w:rsid w:val="0065581D"/>
    <w:rsid w:val="00656D58"/>
    <w:rsid w:val="0066268B"/>
    <w:rsid w:val="00663002"/>
    <w:rsid w:val="006639A4"/>
    <w:rsid w:val="0066415D"/>
    <w:rsid w:val="006644CB"/>
    <w:rsid w:val="00665EFB"/>
    <w:rsid w:val="006664E9"/>
    <w:rsid w:val="00667910"/>
    <w:rsid w:val="00670BD7"/>
    <w:rsid w:val="00670EAD"/>
    <w:rsid w:val="00672E6F"/>
    <w:rsid w:val="00673B97"/>
    <w:rsid w:val="00674019"/>
    <w:rsid w:val="006742D4"/>
    <w:rsid w:val="00675A5C"/>
    <w:rsid w:val="006776E7"/>
    <w:rsid w:val="00682520"/>
    <w:rsid w:val="00683700"/>
    <w:rsid w:val="0068601D"/>
    <w:rsid w:val="00691172"/>
    <w:rsid w:val="00692294"/>
    <w:rsid w:val="00693306"/>
    <w:rsid w:val="006953DC"/>
    <w:rsid w:val="00695966"/>
    <w:rsid w:val="0069761F"/>
    <w:rsid w:val="006A07C4"/>
    <w:rsid w:val="006A1D83"/>
    <w:rsid w:val="006A29E3"/>
    <w:rsid w:val="006A4359"/>
    <w:rsid w:val="006A4601"/>
    <w:rsid w:val="006A7BF4"/>
    <w:rsid w:val="006B30A5"/>
    <w:rsid w:val="006C0168"/>
    <w:rsid w:val="006C0DE1"/>
    <w:rsid w:val="006D0843"/>
    <w:rsid w:val="006D1A5C"/>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9C7"/>
    <w:rsid w:val="006E7B97"/>
    <w:rsid w:val="006F0CA1"/>
    <w:rsid w:val="006F265B"/>
    <w:rsid w:val="006F5D2E"/>
    <w:rsid w:val="00700748"/>
    <w:rsid w:val="007071EC"/>
    <w:rsid w:val="00707CCE"/>
    <w:rsid w:val="00712734"/>
    <w:rsid w:val="00714CE0"/>
    <w:rsid w:val="007155D8"/>
    <w:rsid w:val="007163F5"/>
    <w:rsid w:val="00720BE1"/>
    <w:rsid w:val="00721375"/>
    <w:rsid w:val="00723246"/>
    <w:rsid w:val="00723622"/>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475AB"/>
    <w:rsid w:val="00751EC4"/>
    <w:rsid w:val="00752D49"/>
    <w:rsid w:val="007535BA"/>
    <w:rsid w:val="00754132"/>
    <w:rsid w:val="00754517"/>
    <w:rsid w:val="00754796"/>
    <w:rsid w:val="00757CDF"/>
    <w:rsid w:val="00761C5D"/>
    <w:rsid w:val="007621A2"/>
    <w:rsid w:val="007647D5"/>
    <w:rsid w:val="00764B4D"/>
    <w:rsid w:val="00765D19"/>
    <w:rsid w:val="007666CD"/>
    <w:rsid w:val="0076733A"/>
    <w:rsid w:val="00770101"/>
    <w:rsid w:val="00771C67"/>
    <w:rsid w:val="007720E5"/>
    <w:rsid w:val="0077240D"/>
    <w:rsid w:val="00772CF2"/>
    <w:rsid w:val="00773D92"/>
    <w:rsid w:val="007764B6"/>
    <w:rsid w:val="00776608"/>
    <w:rsid w:val="007812F2"/>
    <w:rsid w:val="0078183C"/>
    <w:rsid w:val="00784849"/>
    <w:rsid w:val="00785D96"/>
    <w:rsid w:val="00786F90"/>
    <w:rsid w:val="0078705C"/>
    <w:rsid w:val="00787EAC"/>
    <w:rsid w:val="00794461"/>
    <w:rsid w:val="00794FCD"/>
    <w:rsid w:val="007953D6"/>
    <w:rsid w:val="00795B3C"/>
    <w:rsid w:val="007967F8"/>
    <w:rsid w:val="00796F63"/>
    <w:rsid w:val="00797C4A"/>
    <w:rsid w:val="007A081E"/>
    <w:rsid w:val="007A25EC"/>
    <w:rsid w:val="007A4713"/>
    <w:rsid w:val="007A4B68"/>
    <w:rsid w:val="007A5D43"/>
    <w:rsid w:val="007A7DE3"/>
    <w:rsid w:val="007B3D54"/>
    <w:rsid w:val="007B4F03"/>
    <w:rsid w:val="007B5599"/>
    <w:rsid w:val="007B72EA"/>
    <w:rsid w:val="007C1207"/>
    <w:rsid w:val="007C1DF6"/>
    <w:rsid w:val="007C3191"/>
    <w:rsid w:val="007C31F3"/>
    <w:rsid w:val="007C46C6"/>
    <w:rsid w:val="007C54AD"/>
    <w:rsid w:val="007C58AF"/>
    <w:rsid w:val="007C7E43"/>
    <w:rsid w:val="007C7FDD"/>
    <w:rsid w:val="007D3FA5"/>
    <w:rsid w:val="007D43DE"/>
    <w:rsid w:val="007D58FB"/>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38AF"/>
    <w:rsid w:val="00805790"/>
    <w:rsid w:val="00805A39"/>
    <w:rsid w:val="00805A56"/>
    <w:rsid w:val="008073D1"/>
    <w:rsid w:val="0081075C"/>
    <w:rsid w:val="00811F0B"/>
    <w:rsid w:val="0081225F"/>
    <w:rsid w:val="008137E8"/>
    <w:rsid w:val="00814407"/>
    <w:rsid w:val="0081458D"/>
    <w:rsid w:val="00814AE5"/>
    <w:rsid w:val="00814FAA"/>
    <w:rsid w:val="008155FD"/>
    <w:rsid w:val="008178F9"/>
    <w:rsid w:val="008214B8"/>
    <w:rsid w:val="008300C6"/>
    <w:rsid w:val="0083251D"/>
    <w:rsid w:val="00832B24"/>
    <w:rsid w:val="00834628"/>
    <w:rsid w:val="00836FB8"/>
    <w:rsid w:val="00837638"/>
    <w:rsid w:val="00837F81"/>
    <w:rsid w:val="00841CA2"/>
    <w:rsid w:val="00843046"/>
    <w:rsid w:val="0084554A"/>
    <w:rsid w:val="00845E40"/>
    <w:rsid w:val="00850A20"/>
    <w:rsid w:val="00851261"/>
    <w:rsid w:val="008528EC"/>
    <w:rsid w:val="00855CCE"/>
    <w:rsid w:val="008566DF"/>
    <w:rsid w:val="008601F7"/>
    <w:rsid w:val="008604F5"/>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08AA"/>
    <w:rsid w:val="008D18E6"/>
    <w:rsid w:val="008D21A1"/>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D2"/>
    <w:rsid w:val="0091011A"/>
    <w:rsid w:val="00910ACC"/>
    <w:rsid w:val="00910CC0"/>
    <w:rsid w:val="0091310A"/>
    <w:rsid w:val="00913CF8"/>
    <w:rsid w:val="00914AF1"/>
    <w:rsid w:val="009175EB"/>
    <w:rsid w:val="00917C38"/>
    <w:rsid w:val="0092137B"/>
    <w:rsid w:val="00921380"/>
    <w:rsid w:val="00921C45"/>
    <w:rsid w:val="00923290"/>
    <w:rsid w:val="0092435E"/>
    <w:rsid w:val="00924F28"/>
    <w:rsid w:val="00926B31"/>
    <w:rsid w:val="0092777F"/>
    <w:rsid w:val="00930A63"/>
    <w:rsid w:val="00932CDB"/>
    <w:rsid w:val="009348DA"/>
    <w:rsid w:val="00936B3F"/>
    <w:rsid w:val="00936B4E"/>
    <w:rsid w:val="00943093"/>
    <w:rsid w:val="009436D4"/>
    <w:rsid w:val="00944DBD"/>
    <w:rsid w:val="00946F92"/>
    <w:rsid w:val="00952A05"/>
    <w:rsid w:val="00952DCB"/>
    <w:rsid w:val="00953FC6"/>
    <w:rsid w:val="00955488"/>
    <w:rsid w:val="0095572A"/>
    <w:rsid w:val="00955B6D"/>
    <w:rsid w:val="00956061"/>
    <w:rsid w:val="00961353"/>
    <w:rsid w:val="00961D3F"/>
    <w:rsid w:val="00964C96"/>
    <w:rsid w:val="009652A6"/>
    <w:rsid w:val="009665F2"/>
    <w:rsid w:val="0097033B"/>
    <w:rsid w:val="009777A7"/>
    <w:rsid w:val="00977BC5"/>
    <w:rsid w:val="0098099B"/>
    <w:rsid w:val="00981A36"/>
    <w:rsid w:val="00985CF8"/>
    <w:rsid w:val="0099288E"/>
    <w:rsid w:val="00994C91"/>
    <w:rsid w:val="009951D8"/>
    <w:rsid w:val="00996206"/>
    <w:rsid w:val="009A0A79"/>
    <w:rsid w:val="009A0D9A"/>
    <w:rsid w:val="009A1DC8"/>
    <w:rsid w:val="009A27EB"/>
    <w:rsid w:val="009A301D"/>
    <w:rsid w:val="009A64B9"/>
    <w:rsid w:val="009B067A"/>
    <w:rsid w:val="009B0D54"/>
    <w:rsid w:val="009B205E"/>
    <w:rsid w:val="009B25BF"/>
    <w:rsid w:val="009B2DD3"/>
    <w:rsid w:val="009B3828"/>
    <w:rsid w:val="009C3B23"/>
    <w:rsid w:val="009C4330"/>
    <w:rsid w:val="009C471E"/>
    <w:rsid w:val="009D2F27"/>
    <w:rsid w:val="009D3164"/>
    <w:rsid w:val="009D3543"/>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060F3"/>
    <w:rsid w:val="00A07A0A"/>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6BB1"/>
    <w:rsid w:val="00A37888"/>
    <w:rsid w:val="00A4420C"/>
    <w:rsid w:val="00A44B4E"/>
    <w:rsid w:val="00A469CD"/>
    <w:rsid w:val="00A47600"/>
    <w:rsid w:val="00A51ABA"/>
    <w:rsid w:val="00A52B03"/>
    <w:rsid w:val="00A53DB9"/>
    <w:rsid w:val="00A54228"/>
    <w:rsid w:val="00A54B91"/>
    <w:rsid w:val="00A55953"/>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6E78"/>
    <w:rsid w:val="00A86EEB"/>
    <w:rsid w:val="00A916A4"/>
    <w:rsid w:val="00A9270C"/>
    <w:rsid w:val="00A93F25"/>
    <w:rsid w:val="00A94B98"/>
    <w:rsid w:val="00A96975"/>
    <w:rsid w:val="00A9769F"/>
    <w:rsid w:val="00AA1B86"/>
    <w:rsid w:val="00AA2643"/>
    <w:rsid w:val="00AA3CE3"/>
    <w:rsid w:val="00AA473D"/>
    <w:rsid w:val="00AA4EB0"/>
    <w:rsid w:val="00AA57CE"/>
    <w:rsid w:val="00AA65A6"/>
    <w:rsid w:val="00AA733F"/>
    <w:rsid w:val="00AA781C"/>
    <w:rsid w:val="00AB0750"/>
    <w:rsid w:val="00AB15B3"/>
    <w:rsid w:val="00AB16AA"/>
    <w:rsid w:val="00AB6298"/>
    <w:rsid w:val="00AB77DE"/>
    <w:rsid w:val="00AC1CC1"/>
    <w:rsid w:val="00AC26F8"/>
    <w:rsid w:val="00AC3064"/>
    <w:rsid w:val="00AC32A3"/>
    <w:rsid w:val="00AC41C3"/>
    <w:rsid w:val="00AC5C95"/>
    <w:rsid w:val="00AC60ED"/>
    <w:rsid w:val="00AC6F37"/>
    <w:rsid w:val="00AC75AF"/>
    <w:rsid w:val="00AC7792"/>
    <w:rsid w:val="00AD136F"/>
    <w:rsid w:val="00AD6E11"/>
    <w:rsid w:val="00AD7063"/>
    <w:rsid w:val="00AD77EA"/>
    <w:rsid w:val="00AD7ABD"/>
    <w:rsid w:val="00AE00D2"/>
    <w:rsid w:val="00AE32B7"/>
    <w:rsid w:val="00AE46CA"/>
    <w:rsid w:val="00AE48A8"/>
    <w:rsid w:val="00AE5624"/>
    <w:rsid w:val="00AE7969"/>
    <w:rsid w:val="00AE7E8C"/>
    <w:rsid w:val="00AF1B16"/>
    <w:rsid w:val="00AF3F81"/>
    <w:rsid w:val="00AF4D0D"/>
    <w:rsid w:val="00B0048C"/>
    <w:rsid w:val="00B005B0"/>
    <w:rsid w:val="00B027A2"/>
    <w:rsid w:val="00B05364"/>
    <w:rsid w:val="00B07565"/>
    <w:rsid w:val="00B076AE"/>
    <w:rsid w:val="00B10561"/>
    <w:rsid w:val="00B14A5C"/>
    <w:rsid w:val="00B14B22"/>
    <w:rsid w:val="00B170C7"/>
    <w:rsid w:val="00B17944"/>
    <w:rsid w:val="00B20A42"/>
    <w:rsid w:val="00B22323"/>
    <w:rsid w:val="00B24246"/>
    <w:rsid w:val="00B24603"/>
    <w:rsid w:val="00B255E8"/>
    <w:rsid w:val="00B26536"/>
    <w:rsid w:val="00B27E81"/>
    <w:rsid w:val="00B30A24"/>
    <w:rsid w:val="00B3115E"/>
    <w:rsid w:val="00B31C26"/>
    <w:rsid w:val="00B3217A"/>
    <w:rsid w:val="00B33547"/>
    <w:rsid w:val="00B336EF"/>
    <w:rsid w:val="00B34300"/>
    <w:rsid w:val="00B34BA4"/>
    <w:rsid w:val="00B34E03"/>
    <w:rsid w:val="00B34F5D"/>
    <w:rsid w:val="00B37B13"/>
    <w:rsid w:val="00B37FD8"/>
    <w:rsid w:val="00B42C3E"/>
    <w:rsid w:val="00B42CCB"/>
    <w:rsid w:val="00B42EEE"/>
    <w:rsid w:val="00B4522C"/>
    <w:rsid w:val="00B46D5D"/>
    <w:rsid w:val="00B472C5"/>
    <w:rsid w:val="00B47CE1"/>
    <w:rsid w:val="00B50235"/>
    <w:rsid w:val="00B50587"/>
    <w:rsid w:val="00B52274"/>
    <w:rsid w:val="00B533A1"/>
    <w:rsid w:val="00B53D07"/>
    <w:rsid w:val="00B54913"/>
    <w:rsid w:val="00B55B6C"/>
    <w:rsid w:val="00B562ED"/>
    <w:rsid w:val="00B57D86"/>
    <w:rsid w:val="00B616C8"/>
    <w:rsid w:val="00B617ED"/>
    <w:rsid w:val="00B61F4B"/>
    <w:rsid w:val="00B62231"/>
    <w:rsid w:val="00B62444"/>
    <w:rsid w:val="00B628F8"/>
    <w:rsid w:val="00B62EB7"/>
    <w:rsid w:val="00B6386D"/>
    <w:rsid w:val="00B63FC6"/>
    <w:rsid w:val="00B6720F"/>
    <w:rsid w:val="00B741A5"/>
    <w:rsid w:val="00B74686"/>
    <w:rsid w:val="00B84327"/>
    <w:rsid w:val="00B849FF"/>
    <w:rsid w:val="00B84A79"/>
    <w:rsid w:val="00B87ABF"/>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2478"/>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6C3A"/>
    <w:rsid w:val="00BD71D6"/>
    <w:rsid w:val="00BD7632"/>
    <w:rsid w:val="00BD7633"/>
    <w:rsid w:val="00BE1911"/>
    <w:rsid w:val="00BE2015"/>
    <w:rsid w:val="00BE59EE"/>
    <w:rsid w:val="00BE617F"/>
    <w:rsid w:val="00BE7FB6"/>
    <w:rsid w:val="00BF31C2"/>
    <w:rsid w:val="00BF322D"/>
    <w:rsid w:val="00BF3F88"/>
    <w:rsid w:val="00BF453E"/>
    <w:rsid w:val="00BF5F4B"/>
    <w:rsid w:val="00BF5F51"/>
    <w:rsid w:val="00C01CA2"/>
    <w:rsid w:val="00C025DD"/>
    <w:rsid w:val="00C031AF"/>
    <w:rsid w:val="00C03602"/>
    <w:rsid w:val="00C04587"/>
    <w:rsid w:val="00C04E42"/>
    <w:rsid w:val="00C058A2"/>
    <w:rsid w:val="00C06701"/>
    <w:rsid w:val="00C073AE"/>
    <w:rsid w:val="00C107BF"/>
    <w:rsid w:val="00C11535"/>
    <w:rsid w:val="00C1557E"/>
    <w:rsid w:val="00C16870"/>
    <w:rsid w:val="00C200AB"/>
    <w:rsid w:val="00C21D5A"/>
    <w:rsid w:val="00C301C0"/>
    <w:rsid w:val="00C30411"/>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523A"/>
    <w:rsid w:val="00C57E86"/>
    <w:rsid w:val="00C6203C"/>
    <w:rsid w:val="00C63944"/>
    <w:rsid w:val="00C675F5"/>
    <w:rsid w:val="00C67F88"/>
    <w:rsid w:val="00C70745"/>
    <w:rsid w:val="00C72855"/>
    <w:rsid w:val="00C72DE6"/>
    <w:rsid w:val="00C75457"/>
    <w:rsid w:val="00C75BFF"/>
    <w:rsid w:val="00C77E4A"/>
    <w:rsid w:val="00C8131E"/>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B0844"/>
    <w:rsid w:val="00CB0FB1"/>
    <w:rsid w:val="00CB23D8"/>
    <w:rsid w:val="00CB4034"/>
    <w:rsid w:val="00CB53F4"/>
    <w:rsid w:val="00CB61CA"/>
    <w:rsid w:val="00CB63E2"/>
    <w:rsid w:val="00CC0062"/>
    <w:rsid w:val="00CC068F"/>
    <w:rsid w:val="00CC10C4"/>
    <w:rsid w:val="00CC1E63"/>
    <w:rsid w:val="00CC5F57"/>
    <w:rsid w:val="00CD1244"/>
    <w:rsid w:val="00CD225B"/>
    <w:rsid w:val="00CD4048"/>
    <w:rsid w:val="00CD5288"/>
    <w:rsid w:val="00CD568A"/>
    <w:rsid w:val="00CD6B01"/>
    <w:rsid w:val="00CE0203"/>
    <w:rsid w:val="00CE1444"/>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07041"/>
    <w:rsid w:val="00D12B54"/>
    <w:rsid w:val="00D12CFA"/>
    <w:rsid w:val="00D13317"/>
    <w:rsid w:val="00D13EE5"/>
    <w:rsid w:val="00D14F6B"/>
    <w:rsid w:val="00D15ED4"/>
    <w:rsid w:val="00D171AF"/>
    <w:rsid w:val="00D176B8"/>
    <w:rsid w:val="00D22354"/>
    <w:rsid w:val="00D22695"/>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0F7A"/>
    <w:rsid w:val="00D532A2"/>
    <w:rsid w:val="00D53644"/>
    <w:rsid w:val="00D538EE"/>
    <w:rsid w:val="00D53DFD"/>
    <w:rsid w:val="00D56601"/>
    <w:rsid w:val="00D56604"/>
    <w:rsid w:val="00D60D94"/>
    <w:rsid w:val="00D62E46"/>
    <w:rsid w:val="00D644BD"/>
    <w:rsid w:val="00D7217B"/>
    <w:rsid w:val="00D7561D"/>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B7084"/>
    <w:rsid w:val="00DC12CC"/>
    <w:rsid w:val="00DC372A"/>
    <w:rsid w:val="00DC6956"/>
    <w:rsid w:val="00DD0302"/>
    <w:rsid w:val="00DD07C1"/>
    <w:rsid w:val="00DD107E"/>
    <w:rsid w:val="00DD13EE"/>
    <w:rsid w:val="00DD2B06"/>
    <w:rsid w:val="00DD3D80"/>
    <w:rsid w:val="00DD54A6"/>
    <w:rsid w:val="00DD64C9"/>
    <w:rsid w:val="00DD6D46"/>
    <w:rsid w:val="00DD6DB1"/>
    <w:rsid w:val="00DE0FE3"/>
    <w:rsid w:val="00DE1E2C"/>
    <w:rsid w:val="00DE23A5"/>
    <w:rsid w:val="00DE253E"/>
    <w:rsid w:val="00DE36FF"/>
    <w:rsid w:val="00DE4547"/>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7723"/>
    <w:rsid w:val="00E27858"/>
    <w:rsid w:val="00E27ACD"/>
    <w:rsid w:val="00E3006E"/>
    <w:rsid w:val="00E300EE"/>
    <w:rsid w:val="00E301F1"/>
    <w:rsid w:val="00E309F2"/>
    <w:rsid w:val="00E318B5"/>
    <w:rsid w:val="00E31ADA"/>
    <w:rsid w:val="00E31D20"/>
    <w:rsid w:val="00E36410"/>
    <w:rsid w:val="00E4210E"/>
    <w:rsid w:val="00E431FC"/>
    <w:rsid w:val="00E47650"/>
    <w:rsid w:val="00E50028"/>
    <w:rsid w:val="00E509D8"/>
    <w:rsid w:val="00E518DD"/>
    <w:rsid w:val="00E52A26"/>
    <w:rsid w:val="00E52BC1"/>
    <w:rsid w:val="00E555D5"/>
    <w:rsid w:val="00E602C5"/>
    <w:rsid w:val="00E605E6"/>
    <w:rsid w:val="00E60754"/>
    <w:rsid w:val="00E61FEC"/>
    <w:rsid w:val="00E62D78"/>
    <w:rsid w:val="00E655A8"/>
    <w:rsid w:val="00E658B0"/>
    <w:rsid w:val="00E66898"/>
    <w:rsid w:val="00E7085F"/>
    <w:rsid w:val="00E73318"/>
    <w:rsid w:val="00E736FC"/>
    <w:rsid w:val="00E74B9B"/>
    <w:rsid w:val="00E75318"/>
    <w:rsid w:val="00E75782"/>
    <w:rsid w:val="00E75878"/>
    <w:rsid w:val="00E75D84"/>
    <w:rsid w:val="00E76702"/>
    <w:rsid w:val="00E76A72"/>
    <w:rsid w:val="00E7713F"/>
    <w:rsid w:val="00E80156"/>
    <w:rsid w:val="00E817E2"/>
    <w:rsid w:val="00E83D0C"/>
    <w:rsid w:val="00E83E03"/>
    <w:rsid w:val="00E84159"/>
    <w:rsid w:val="00E84631"/>
    <w:rsid w:val="00E84FF0"/>
    <w:rsid w:val="00E85C5A"/>
    <w:rsid w:val="00E86AD0"/>
    <w:rsid w:val="00E8716A"/>
    <w:rsid w:val="00E87553"/>
    <w:rsid w:val="00E968DE"/>
    <w:rsid w:val="00EA44C3"/>
    <w:rsid w:val="00EA536E"/>
    <w:rsid w:val="00EA5EC0"/>
    <w:rsid w:val="00EA68E2"/>
    <w:rsid w:val="00EA7EB7"/>
    <w:rsid w:val="00EB03EC"/>
    <w:rsid w:val="00EB26B1"/>
    <w:rsid w:val="00EB4276"/>
    <w:rsid w:val="00EB4397"/>
    <w:rsid w:val="00EB5251"/>
    <w:rsid w:val="00EB557B"/>
    <w:rsid w:val="00EB71FF"/>
    <w:rsid w:val="00EB7EB7"/>
    <w:rsid w:val="00EC0BF1"/>
    <w:rsid w:val="00EC3A4F"/>
    <w:rsid w:val="00EC58F7"/>
    <w:rsid w:val="00EC70CB"/>
    <w:rsid w:val="00EC71B7"/>
    <w:rsid w:val="00ED050B"/>
    <w:rsid w:val="00ED1A11"/>
    <w:rsid w:val="00ED1D9C"/>
    <w:rsid w:val="00ED21D2"/>
    <w:rsid w:val="00ED4176"/>
    <w:rsid w:val="00ED4EF5"/>
    <w:rsid w:val="00ED528E"/>
    <w:rsid w:val="00ED5476"/>
    <w:rsid w:val="00ED6B9A"/>
    <w:rsid w:val="00EE0C7A"/>
    <w:rsid w:val="00EE1746"/>
    <w:rsid w:val="00EE176D"/>
    <w:rsid w:val="00EE2160"/>
    <w:rsid w:val="00EE29E0"/>
    <w:rsid w:val="00EE2A05"/>
    <w:rsid w:val="00EE441E"/>
    <w:rsid w:val="00EE498F"/>
    <w:rsid w:val="00EF2D64"/>
    <w:rsid w:val="00EF3FF2"/>
    <w:rsid w:val="00EF60B3"/>
    <w:rsid w:val="00EF700C"/>
    <w:rsid w:val="00F000E2"/>
    <w:rsid w:val="00F0072D"/>
    <w:rsid w:val="00F0073B"/>
    <w:rsid w:val="00F04CA7"/>
    <w:rsid w:val="00F071FE"/>
    <w:rsid w:val="00F0786D"/>
    <w:rsid w:val="00F079C2"/>
    <w:rsid w:val="00F07C61"/>
    <w:rsid w:val="00F12758"/>
    <w:rsid w:val="00F15527"/>
    <w:rsid w:val="00F172FA"/>
    <w:rsid w:val="00F17C8D"/>
    <w:rsid w:val="00F20A1E"/>
    <w:rsid w:val="00F221B2"/>
    <w:rsid w:val="00F22466"/>
    <w:rsid w:val="00F238C8"/>
    <w:rsid w:val="00F246E9"/>
    <w:rsid w:val="00F27AFD"/>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6EDE"/>
    <w:rsid w:val="00F67083"/>
    <w:rsid w:val="00F67804"/>
    <w:rsid w:val="00F705CB"/>
    <w:rsid w:val="00F70A7E"/>
    <w:rsid w:val="00F71BAB"/>
    <w:rsid w:val="00F74919"/>
    <w:rsid w:val="00F76DA3"/>
    <w:rsid w:val="00F76F9F"/>
    <w:rsid w:val="00F77AE8"/>
    <w:rsid w:val="00F80082"/>
    <w:rsid w:val="00F82696"/>
    <w:rsid w:val="00F83366"/>
    <w:rsid w:val="00F840F4"/>
    <w:rsid w:val="00F855F1"/>
    <w:rsid w:val="00F8618F"/>
    <w:rsid w:val="00F9073C"/>
    <w:rsid w:val="00F92CBB"/>
    <w:rsid w:val="00F9304E"/>
    <w:rsid w:val="00F9319D"/>
    <w:rsid w:val="00F93582"/>
    <w:rsid w:val="00F952F4"/>
    <w:rsid w:val="00F9662C"/>
    <w:rsid w:val="00F9761C"/>
    <w:rsid w:val="00FA2917"/>
    <w:rsid w:val="00FA4F0B"/>
    <w:rsid w:val="00FA50C1"/>
    <w:rsid w:val="00FA5F85"/>
    <w:rsid w:val="00FA6491"/>
    <w:rsid w:val="00FB0813"/>
    <w:rsid w:val="00FB1577"/>
    <w:rsid w:val="00FB2DEC"/>
    <w:rsid w:val="00FB3286"/>
    <w:rsid w:val="00FC186C"/>
    <w:rsid w:val="00FC1899"/>
    <w:rsid w:val="00FC1D4D"/>
    <w:rsid w:val="00FC6EDD"/>
    <w:rsid w:val="00FD0386"/>
    <w:rsid w:val="00FD1990"/>
    <w:rsid w:val="00FD278A"/>
    <w:rsid w:val="00FD63E9"/>
    <w:rsid w:val="00FE298F"/>
    <w:rsid w:val="00FE5014"/>
    <w:rsid w:val="00FE6010"/>
    <w:rsid w:val="00FE623D"/>
    <w:rsid w:val="00FE6C87"/>
    <w:rsid w:val="00FE7B08"/>
    <w:rsid w:val="00FF18B7"/>
    <w:rsid w:val="00FF198B"/>
    <w:rsid w:val="00FF20A1"/>
    <w:rsid w:val="00FF51DD"/>
    <w:rsid w:val="00FF659A"/>
    <w:rsid w:val="1A5E31B4"/>
    <w:rsid w:val="1C69A648"/>
    <w:rsid w:val="1EF3DF0E"/>
    <w:rsid w:val="52A65D4E"/>
    <w:rsid w:val="54422DAF"/>
    <w:rsid w:val="5A817D54"/>
    <w:rsid w:val="5BB11AC0"/>
    <w:rsid w:val="5D68A334"/>
    <w:rsid w:val="742CE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 w:type="paragraph" w:styleId="Revision">
    <w:name w:val="Revision"/>
    <w:hidden/>
    <w:uiPriority w:val="99"/>
    <w:semiHidden/>
    <w:rsid w:val="00723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739</Words>
  <Characters>4216</Characters>
  <Application>Microsoft Office Word</Application>
  <DocSecurity>0</DocSecurity>
  <Lines>35</Lines>
  <Paragraphs>9</Paragraphs>
  <ScaleCrop>false</ScaleCrop>
  <Manager/>
  <Company>Dept of Medicine</Company>
  <LinksUpToDate>false</LinksUpToDate>
  <CharactersWithSpaces>4946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Acknowledgement of Site Agreement to Cede IRB Review   and Reviewing IRB to Provide Oversight</dc:title>
  <dc:subject/>
  <dc:creator>Nichelle L. Cobb</dc:creator>
  <cp:keywords/>
  <dc:description/>
  <cp:lastModifiedBy>Lavigne, Jeremy</cp:lastModifiedBy>
  <cp:revision>196</cp:revision>
  <cp:lastPrinted>2018-10-10T17:06:00Z</cp:lastPrinted>
  <dcterms:created xsi:type="dcterms:W3CDTF">2018-10-24T14:45:00Z</dcterms:created>
  <dcterms:modified xsi:type="dcterms:W3CDTF">2025-05-15T14:32:00Z</dcterms:modified>
  <cp:category/>
</cp:coreProperties>
</file>